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tabs>
          <w:tab w:val="left" w:pos="2268" w:leader="none"/>
          <w:tab w:val="left" w:pos="5103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Molecular Diagnostics Centers Network  APPLICATION FORM</w:t>
      </w:r>
    </w:p>
    <w:p>
      <w:pPr>
        <w:keepNext w:val="true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  <w:t xml:space="preserve">Please complete the following form and send email to the IFCC office (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paola.bramati@ifcc.org</w:t>
        </w:r>
      </w:hyperlink>
      <w:r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  <w:t xml:space="preserve">) by </w:t>
      </w:r>
      <w:r>
        <w:rPr>
          <w:rFonts w:ascii="Helvetica" w:hAnsi="Helvetica" w:cs="Helvetica" w:eastAsia="Helvetica"/>
          <w:b/>
          <w:color w:val="333399"/>
          <w:spacing w:val="0"/>
          <w:position w:val="0"/>
          <w:sz w:val="24"/>
          <w:u w:val="single"/>
          <w:shd w:fill="auto" w:val="clear"/>
        </w:rPr>
        <w:t xml:space="preserve">February 1</w:t>
      </w:r>
      <w:r>
        <w:rPr>
          <w:rFonts w:ascii="Helvetica" w:hAnsi="Helvetica" w:cs="Helvetica" w:eastAsia="Helvetica"/>
          <w:b/>
          <w:color w:val="333399"/>
          <w:spacing w:val="0"/>
          <w:position w:val="0"/>
          <w:sz w:val="24"/>
          <w:u w:val="single"/>
          <w:shd w:fill="auto" w:val="clear"/>
          <w:vertAlign w:val="superscript"/>
        </w:rPr>
        <w:t xml:space="preserve">st</w:t>
      </w:r>
      <w:r>
        <w:rPr>
          <w:rFonts w:ascii="Helvetica" w:hAnsi="Helvetica" w:cs="Helvetica" w:eastAsia="Helvetica"/>
          <w:b/>
          <w:color w:val="333399"/>
          <w:spacing w:val="0"/>
          <w:position w:val="0"/>
          <w:sz w:val="24"/>
          <w:u w:val="single"/>
          <w:shd w:fill="auto" w:val="clear"/>
        </w:rPr>
        <w:t xml:space="preserve">, 2020</w:t>
      </w:r>
      <w:r>
        <w:rPr>
          <w:rFonts w:ascii="Helvetica" w:hAnsi="Helvetica" w:cs="Helvetica" w:eastAsia="Helvetica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.</w:t>
      </w:r>
    </w:p>
    <w:p>
      <w:pPr>
        <w:keepNext w:val="true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  <w:t xml:space="preserve">For additional details or clarification, email Professor Parviz Ahmad-Nejad</w:t>
      </w:r>
    </w:p>
    <w:p>
      <w:pPr>
        <w:keepNext w:val="true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before="0" w:after="0" w:line="240"/>
        <w:ind w:right="0" w:left="0" w:firstLine="0"/>
        <w:jc w:val="center"/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</w:pPr>
      <w:r>
        <w:rPr>
          <w:rFonts w:ascii="Helvetica" w:hAnsi="Helvetica" w:cs="Helvetica" w:eastAsia="Helvetica"/>
          <w:color w:val="333399"/>
          <w:spacing w:val="0"/>
          <w:position w:val="0"/>
          <w:sz w:val="24"/>
          <w:u w:val="single"/>
          <w:shd w:fill="auto" w:val="clear"/>
        </w:rPr>
        <w:t xml:space="preserve">at the following: </w:t>
      </w:r>
      <w:hyperlink xmlns:r="http://schemas.openxmlformats.org/officeDocument/2006/relationships" r:id="docRId1">
        <w:r>
          <w:rPr>
            <w:rFonts w:ascii="Helvetica" w:hAnsi="Helvetica" w:cs="Helvetica" w:eastAsia="Helvetic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parviz.ahmad-nejad@helios-gesundheit.de</w:t>
        </w:r>
      </w:hyperlink>
    </w:p>
    <w:p>
      <w:pPr>
        <w:tabs>
          <w:tab w:val="left" w:pos="426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426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  <w:t xml:space="preserve">1.</w:t>
        <w:tab/>
        <w:t xml:space="preserve">INVESTIGATORS</w:t>
      </w:r>
    </w:p>
    <w:tbl>
      <w:tblPr/>
      <w:tblGrid>
        <w:gridCol w:w="534"/>
        <w:gridCol w:w="2126"/>
        <w:gridCol w:w="5845"/>
      </w:tblGrid>
      <w:tr>
        <w:trPr>
          <w:trHeight w:val="1" w:hRule="atLeast"/>
          <w:jc w:val="left"/>
          <w:cantSplit w:val="1"/>
        </w:trPr>
        <w:tc>
          <w:tcPr>
            <w:tcW w:w="8505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Principle Applicant</w:t>
            </w: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Title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Surname, First name</w:t>
            </w: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Email address: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Telephone number (including country code)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MDC Area of Interest</w:t>
            </w:r>
          </w:p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(see page 2 for list)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505" w:type="dxa"/>
            <w:gridSpan w:val="3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Co-Applicants and 2°(Name of Secondary Contact at Your Organization) 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Title</w:t>
            </w: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Surname, First name and Email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iii)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2°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8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426" w:leader="none"/>
          <w:tab w:val="left" w:pos="2552" w:leader="none"/>
          <w:tab w:val="left" w:pos="2835" w:leader="none"/>
          <w:tab w:val="left" w:pos="6521" w:leader="none"/>
          <w:tab w:val="left" w:pos="6804" w:leader="none"/>
          <w:tab w:val="left" w:pos="93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426" w:leader="none"/>
          <w:tab w:val="left" w:pos="2552" w:leader="none"/>
          <w:tab w:val="left" w:pos="2835" w:leader="none"/>
          <w:tab w:val="left" w:pos="6521" w:leader="none"/>
          <w:tab w:val="left" w:pos="6804" w:leader="none"/>
          <w:tab w:val="left" w:pos="935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2°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The secondary contact should be available if the IFCC cannot reach the primary contact</w:t>
      </w:r>
    </w:p>
    <w:p>
      <w:pPr>
        <w:tabs>
          <w:tab w:val="left" w:pos="426" w:leader="none"/>
          <w:tab w:val="left" w:pos="2552" w:leader="none"/>
          <w:tab w:val="left" w:pos="2835" w:leader="none"/>
          <w:tab w:val="left" w:pos="6521" w:leader="none"/>
          <w:tab w:val="left" w:pos="6804" w:leader="none"/>
          <w:tab w:val="left" w:pos="93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426" w:leader="none"/>
          <w:tab w:val="left" w:pos="2552" w:leader="none"/>
          <w:tab w:val="left" w:pos="2835" w:leader="none"/>
          <w:tab w:val="left" w:pos="6521" w:leader="none"/>
          <w:tab w:val="left" w:pos="6804" w:leader="none"/>
          <w:tab w:val="left" w:pos="9356" w:leader="none"/>
        </w:tabs>
        <w:spacing w:before="0" w:after="0" w:line="48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1134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FFFFFF" w:val="clear"/>
        </w:rPr>
        <w:t xml:space="preserve">2. INSTITUTION DETAILS</w:t>
      </w:r>
    </w:p>
    <w:p>
      <w:pPr>
        <w:keepNext w:val="true"/>
        <w:numPr>
          <w:ilvl w:val="0"/>
          <w:numId w:val="39"/>
        </w:numPr>
        <w:tabs>
          <w:tab w:val="left" w:pos="426" w:leader="none"/>
        </w:tabs>
        <w:spacing w:before="60" w:after="60" w:line="240"/>
        <w:ind w:right="0" w:left="425" w:hanging="425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(a)</w:t>
        <w:tab/>
        <w:t xml:space="preserve">Name &amp; full address of Institutions (s) </w:t>
      </w:r>
    </w:p>
    <w:tbl>
      <w:tblPr>
        <w:tblInd w:w="108" w:type="dxa"/>
      </w:tblPr>
      <w:tblGrid>
        <w:gridCol w:w="8382"/>
      </w:tblGrid>
      <w:tr>
        <w:trPr>
          <w:trHeight w:val="3961" w:hRule="auto"/>
          <w:jc w:val="left"/>
        </w:trPr>
        <w:tc>
          <w:tcPr>
            <w:tcW w:w="8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If this is a multi-centre application, please identify all institutions (example, pathology department and genetic department) involved (such as for CoApplicants i), ii), and iii)).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12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8"/>
          <w:shd w:fill="FFFFFF" w:val="clear"/>
        </w:rPr>
        <w:t xml:space="preserve">Details of the Principle Applicant</w:t>
      </w: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Correspondence relating to this application will be sent to the Principle Applicant </w:t>
      </w:r>
    </w:p>
    <w:p>
      <w:pPr>
        <w:tabs>
          <w:tab w:val="left" w:pos="426" w:leader="none"/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u w:val="single"/>
          <w:shd w:fill="auto" w:val="clear"/>
        </w:rPr>
      </w:pPr>
    </w:p>
    <w:tbl>
      <w:tblPr/>
      <w:tblGrid>
        <w:gridCol w:w="1641"/>
        <w:gridCol w:w="1043"/>
        <w:gridCol w:w="1792"/>
        <w:gridCol w:w="1042"/>
        <w:gridCol w:w="283"/>
        <w:gridCol w:w="2653"/>
      </w:tblGrid>
      <w:tr>
        <w:trPr>
          <w:trHeight w:val="198" w:hRule="auto"/>
          <w:jc w:val="left"/>
          <w:cantSplit w:val="1"/>
        </w:trPr>
        <w:tc>
          <w:tcPr>
            <w:tcW w:w="268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Title</w:t>
            </w:r>
          </w:p>
        </w:tc>
        <w:tc>
          <w:tcPr>
            <w:tcW w:w="28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Given Name</w:t>
            </w:r>
          </w:p>
        </w:tc>
        <w:tc>
          <w:tcPr>
            <w:tcW w:w="29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Surname</w:t>
            </w:r>
          </w:p>
        </w:tc>
      </w:tr>
      <w:tr>
        <w:trPr>
          <w:trHeight w:val="423" w:hRule="auto"/>
          <w:jc w:val="left"/>
        </w:trPr>
        <w:tc>
          <w:tcPr>
            <w:tcW w:w="268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3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0" w:hRule="auto"/>
          <w:jc w:val="left"/>
        </w:trPr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0" w:line="240"/>
              <w:ind w:right="0" w:left="2301" w:hanging="2301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Current </w:t>
            </w:r>
          </w:p>
          <w:p>
            <w:pPr>
              <w:tabs>
                <w:tab w:val="left" w:pos="426" w:leader="none"/>
              </w:tabs>
              <w:spacing w:before="0" w:after="0" w:line="240"/>
              <w:ind w:right="0" w:left="2301" w:hanging="2301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Appointment:</w:t>
            </w:r>
          </w:p>
        </w:tc>
        <w:tc>
          <w:tcPr>
            <w:tcW w:w="68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</w:tabs>
              <w:spacing w:before="0" w:after="0" w:line="240"/>
              <w:ind w:right="0" w:left="2301" w:hanging="2301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Institution: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ab/>
            </w:r>
          </w:p>
        </w:tc>
        <w:tc>
          <w:tcPr>
            <w:tcW w:w="68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301" w:leader="none"/>
              </w:tabs>
              <w:spacing w:before="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Department: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ab/>
            </w:r>
          </w:p>
        </w:tc>
        <w:tc>
          <w:tcPr>
            <w:tcW w:w="68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5" w:hRule="auto"/>
          <w:jc w:val="left"/>
        </w:trPr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Postal Address: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ab/>
            </w:r>
          </w:p>
        </w:tc>
        <w:tc>
          <w:tcPr>
            <w:tcW w:w="68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90" w:hRule="auto"/>
          <w:jc w:val="left"/>
        </w:trPr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Courier Address:</w:t>
            </w:r>
          </w:p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(if different to postal address)</w:t>
            </w:r>
          </w:p>
        </w:tc>
        <w:tc>
          <w:tcPr>
            <w:tcW w:w="68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Telephone: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ab/>
            </w:r>
          </w:p>
        </w:tc>
        <w:tc>
          <w:tcPr>
            <w:tcW w:w="28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Facsimile:</w:t>
            </w:r>
          </w:p>
        </w:tc>
        <w:tc>
          <w:tcPr>
            <w:tcW w:w="26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Email:</w:t>
            </w:r>
          </w:p>
        </w:tc>
        <w:tc>
          <w:tcPr>
            <w:tcW w:w="68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7" w:hRule="auto"/>
          <w:jc w:val="left"/>
        </w:trPr>
        <w:tc>
          <w:tcPr>
            <w:tcW w:w="1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Alternate Email*:</w:t>
            </w:r>
          </w:p>
        </w:tc>
        <w:tc>
          <w:tcPr>
            <w:tcW w:w="68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30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*An alternate email is necessary if the principle contact cannot be reached using the first email</w:t>
      </w: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tbl>
      <w:tblPr>
        <w:tblInd w:w="12" w:type="dxa"/>
      </w:tblPr>
      <w:tblGrid>
        <w:gridCol w:w="2166"/>
        <w:gridCol w:w="4828"/>
        <w:gridCol w:w="2274"/>
        <w:gridCol w:w="2070"/>
      </w:tblGrid>
      <w:tr>
        <w:trPr>
          <w:trHeight w:val="576" w:hRule="auto"/>
          <w:jc w:val="left"/>
        </w:trPr>
        <w:tc>
          <w:tcPr>
            <w:tcW w:w="1133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4.  </w:t>
            </w:r>
            <w:r>
              <w:rPr>
                <w:rFonts w:ascii="Arial" w:hAnsi="Arial" w:cs="Arial" w:eastAsia="Arial"/>
                <w:b/>
                <w:caps w:val="true"/>
                <w:color w:val="000000"/>
                <w:spacing w:val="0"/>
                <w:position w:val="0"/>
                <w:sz w:val="32"/>
                <w:shd w:fill="auto" w:val="clear"/>
              </w:rPr>
              <w:t xml:space="preserve">MDC Network Area of Interest</w:t>
            </w:r>
          </w:p>
        </w:tc>
      </w:tr>
      <w:tr>
        <w:trPr>
          <w:trHeight w:val="576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Examples</w:t>
            </w:r>
          </w:p>
        </w:tc>
        <w:tc>
          <w:tcPr>
            <w:tcW w:w="43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Specific Area</w:t>
            </w:r>
          </w:p>
        </w:tc>
      </w:tr>
      <w:tr>
        <w:trPr>
          <w:trHeight w:val="579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Single-Gene Disorders</w:t>
            </w: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Hemochromatosis, Fragile X, Cystic Fibrosis, Factor V Leiden</w:t>
            </w:r>
          </w:p>
        </w:tc>
        <w:tc>
          <w:tcPr>
            <w:tcW w:w="43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Multi-Gene Disorders</w:t>
            </w: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Dyslipidemias</w:t>
            </w:r>
          </w:p>
        </w:tc>
        <w:tc>
          <w:tcPr>
            <w:tcW w:w="43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Oncology</w:t>
            </w: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Solid Organ: Breast, colon, lungs, therapeutic response, prognostic testing</w:t>
            </w:r>
          </w:p>
        </w:tc>
        <w:tc>
          <w:tcPr>
            <w:tcW w:w="43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Hematological: Bcr-Abl quantitative PCR, B and T cell clonality</w:t>
            </w:r>
          </w:p>
        </w:tc>
        <w:tc>
          <w:tcPr>
            <w:tcW w:w="43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Circulating Tumor Cells, Circulating cell free DNA</w:t>
            </w:r>
          </w:p>
        </w:tc>
        <w:tc>
          <w:tcPr>
            <w:tcW w:w="43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Pharmacogenetics</w:t>
            </w: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CYP2D6, TPMT</w:t>
            </w:r>
          </w:p>
        </w:tc>
        <w:tc>
          <w:tcPr>
            <w:tcW w:w="43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Inherited Errors of metabolism</w:t>
            </w:r>
          </w:p>
        </w:tc>
        <w:tc>
          <w:tcPr>
            <w:tcW w:w="48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glycogen storage disease, phenylketonuria, porphyria,  Lesch-Nyhan syndrome </w:t>
            </w:r>
          </w:p>
        </w:tc>
        <w:tc>
          <w:tcPr>
            <w:tcW w:w="43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9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Infectious Diseases</w:t>
            </w:r>
          </w:p>
        </w:tc>
        <w:tc>
          <w:tcPr>
            <w:tcW w:w="71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Sexually transmitted diseases, Respiratory diseases, Meningitis/Encephalitis, Hepatitis, Gastrointestinal diseases, Tropical diseases, Pediatric diseases, Drug resistance genes</w:t>
            </w:r>
          </w:p>
        </w:tc>
        <w:tc>
          <w:tcPr>
            <w:tcW w:w="20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tbl>
      <w:tblPr>
        <w:tblInd w:w="12" w:type="dxa"/>
      </w:tblPr>
      <w:tblGrid>
        <w:gridCol w:w="2166"/>
        <w:gridCol w:w="4410"/>
        <w:gridCol w:w="2520"/>
      </w:tblGrid>
      <w:tr>
        <w:trPr>
          <w:trHeight w:val="576" w:hRule="auto"/>
          <w:jc w:val="left"/>
        </w:trPr>
        <w:tc>
          <w:tcPr>
            <w:tcW w:w="909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32"/>
                <w:shd w:fill="auto" w:val="clear"/>
              </w:rPr>
              <w:t xml:space="preserve">4.  </w:t>
            </w:r>
            <w:r>
              <w:rPr>
                <w:rFonts w:ascii="Arial" w:hAnsi="Arial" w:cs="Arial" w:eastAsia="Arial"/>
                <w:b/>
                <w:caps w:val="true"/>
                <w:color w:val="000000"/>
                <w:spacing w:val="0"/>
                <w:position w:val="0"/>
                <w:sz w:val="32"/>
                <w:shd w:fill="auto" w:val="clear"/>
              </w:rPr>
              <w:t xml:space="preserve">MDC Network Area of Interest (continued),</w:t>
            </w:r>
          </w:p>
        </w:tc>
      </w:tr>
      <w:tr>
        <w:trPr>
          <w:trHeight w:val="576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Examples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Specific Area</w:t>
            </w:r>
          </w:p>
        </w:tc>
      </w:tr>
      <w:tr>
        <w:trPr>
          <w:trHeight w:val="568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Circulating cell free DNA</w:t>
            </w:r>
          </w:p>
        </w:tc>
        <w:tc>
          <w:tcPr>
            <w:tcW w:w="4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Circulating cell free DNA, Massively parallel sequencing data analysis for cell free DNA, Noninvasive prenatal testing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Bioinformatics and Laboratory information systems</w:t>
            </w:r>
          </w:p>
        </w:tc>
        <w:tc>
          <w:tcPr>
            <w:tcW w:w="4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Massively parallel sequencing data analysis, patient management algorithms, instrument interface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External Quality Assessment</w:t>
            </w:r>
          </w:p>
        </w:tc>
        <w:tc>
          <w:tcPr>
            <w:tcW w:w="4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Proficiency testing, alternate assessment (specimen exchange)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Reference Materials </w:t>
            </w:r>
          </w:p>
        </w:tc>
        <w:tc>
          <w:tcPr>
            <w:tcW w:w="4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Calibrators, Certified reference materials, Low level materials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Education</w:t>
            </w:r>
          </w:p>
        </w:tc>
        <w:tc>
          <w:tcPr>
            <w:tcW w:w="4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User education i.e. website, health care provider (example, nurse and doctor education), Laboratory and workflow design</w:t>
            </w: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8" w:hRule="auto"/>
          <w:jc w:val="left"/>
        </w:trPr>
        <w:tc>
          <w:tcPr>
            <w:tcW w:w="216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Other</w:t>
            </w:r>
          </w:p>
        </w:tc>
        <w:tc>
          <w:tcPr>
            <w:tcW w:w="44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284" w:leader="none"/>
          <w:tab w:val="left" w:pos="851" w:leader="none"/>
        </w:tabs>
        <w:spacing w:before="0" w:after="0" w:line="240"/>
        <w:ind w:right="0" w:left="72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tbl>
      <w:tblPr/>
      <w:tblGrid>
        <w:gridCol w:w="9108"/>
      </w:tblGrid>
      <w:tr>
        <w:trPr>
          <w:trHeight w:val="54" w:hRule="auto"/>
          <w:jc w:val="left"/>
        </w:trPr>
        <w:tc>
          <w:tcPr>
            <w:tcW w:w="9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  <w:tab w:val="left" w:pos="284" w:leader="none"/>
                <w:tab w:val="left" w:pos="851" w:leader="none"/>
              </w:tabs>
              <w:spacing w:before="0" w:after="12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5. Levels of Participation 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Participation as an 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0"/>
                <w:shd w:fill="auto" w:val="clear"/>
              </w:rPr>
              <w:t xml:space="preserve">IFCC MDC Network Member</w:t>
            </w:r>
          </w:p>
        </w:tc>
      </w:tr>
      <w:tr>
        <w:trPr>
          <w:trHeight w:val="723" w:hRule="auto"/>
          <w:jc w:val="left"/>
        </w:trPr>
        <w:tc>
          <w:tcPr>
            <w:tcW w:w="91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Objective: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to promote dialogue between molecular diagnostics laboratories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(for example but not limited to IFCC MDC expert laboratories). To focus on quality improvement and improving access to material, education materials guidelines and training. Being a network member provides access to the IFCC MDC expert laboratories.</w:t>
            </w:r>
          </w:p>
        </w:tc>
      </w:tr>
    </w:tbl>
    <w:p>
      <w:pPr>
        <w:tabs>
          <w:tab w:val="left" w:pos="284" w:leader="none"/>
          <w:tab w:val="left" w:pos="851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093"/>
        <w:gridCol w:w="6655"/>
      </w:tblGrid>
      <w:tr>
        <w:trPr>
          <w:trHeight w:val="1" w:hRule="atLeast"/>
          <w:jc w:val="left"/>
        </w:trPr>
        <w:tc>
          <w:tcPr>
            <w:tcW w:w="874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8"/>
                <w:u w:val="single"/>
                <w:shd w:fill="auto" w:val="clear"/>
              </w:rPr>
              <w:t xml:space="preserve">6. Laboratory or Institution Details</w:t>
            </w:r>
          </w:p>
        </w:tc>
      </w:tr>
      <w:tr>
        <w:trPr>
          <w:trHeight w:val="3563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6.a Accreditation Status </w:t>
            </w: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2978"/>
              <w:gridCol w:w="2596"/>
            </w:tblGrid>
            <w:tr>
              <w:trPr>
                <w:trHeight w:val="170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Place an “X” against 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Yes or No</w:t>
                  </w:r>
                </w:p>
              </w:tc>
            </w:tr>
            <w:tr>
              <w:trPr>
                <w:trHeight w:val="1412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Do you have accreditation status for performance of molecular diagnostic tests?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tbl>
                  <w:tblPr/>
                  <w:tblGrid>
                    <w:gridCol w:w="1182"/>
                    <w:gridCol w:w="1183"/>
                  </w:tblGrid>
                  <w:tr>
                    <w:trPr>
                      <w:trHeight w:val="620" w:hRule="auto"/>
                      <w:jc w:val="left"/>
                    </w:trPr>
                    <w:tc>
                      <w:tcPr>
                        <w:tcW w:w="1182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  <w:t xml:space="preserve">Yes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</w:pPr>
                      </w:p>
                      <w:tbl>
                        <w:tblPr>
                          <w:tblInd w:w="176" w:type="dxa"/>
                        </w:tblPr>
                        <w:tblGrid>
                          <w:gridCol w:w="453"/>
                        </w:tblGrid>
                        <w:tr>
                          <w:trPr>
                            <w:trHeight w:val="311" w:hRule="auto"/>
                            <w:jc w:val="left"/>
                          </w:trPr>
                          <w:tc>
                            <w:tcPr>
                              <w:tcW w:w="453" w:type="dxa"/>
                              <w:tcBorders>
                                <w:top w:val="single" w:color="000000" w:sz="4"/>
                                <w:left w:val="single" w:color="000000" w:sz="4"/>
                                <w:bottom w:val="single" w:color="000000" w:sz="4"/>
                                <w:right w:val="single" w:color="000000" w:sz="4"/>
                              </w:tcBorders>
                              <w:shd w:color="000000" w:fill="ffffff"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tabs>
                                  <w:tab w:val="left" w:pos="284" w:leader="none"/>
                                  <w:tab w:val="left" w:pos="851" w:leader="none"/>
                                </w:tabs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rFonts w:ascii="Calibri" w:hAnsi="Calibri" w:cs="Calibri" w:eastAsia="Calibri"/>
                                  <w:color w:val="auto"/>
                                  <w:spacing w:val="0"/>
                                  <w:position w:val="0"/>
                                  <w:sz w:val="22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728" w:hRule="auto"/>
                      <w:jc w:val="left"/>
                    </w:trPr>
                    <w:tc>
                      <w:tcPr>
                        <w:tcW w:w="1182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  <w:t xml:space="preserve">No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</w:pPr>
                      </w:p>
                      <w:tbl>
                        <w:tblPr>
                          <w:tblInd w:w="176" w:type="dxa"/>
                        </w:tblPr>
                        <w:tblGrid>
                          <w:gridCol w:w="453"/>
                        </w:tblGrid>
                        <w:tr>
                          <w:trPr>
                            <w:trHeight w:val="311" w:hRule="auto"/>
                            <w:jc w:val="left"/>
                          </w:trPr>
                          <w:tc>
                            <w:tcPr>
                              <w:tcW w:w="453" w:type="dxa"/>
                              <w:tcBorders>
                                <w:top w:val="single" w:color="000000" w:sz="4"/>
                                <w:left w:val="single" w:color="000000" w:sz="4"/>
                                <w:bottom w:val="single" w:color="000000" w:sz="4"/>
                                <w:right w:val="single" w:color="000000" w:sz="4"/>
                              </w:tcBorders>
                              <w:shd w:color="000000" w:fill="ffffff"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tabs>
                                  <w:tab w:val="left" w:pos="284" w:leader="none"/>
                                  <w:tab w:val="left" w:pos="851" w:leader="none"/>
                                </w:tabs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rFonts w:ascii="Calibri" w:hAnsi="Calibri" w:cs="Calibri" w:eastAsia="Calibri"/>
                                  <w:color w:val="auto"/>
                                  <w:spacing w:val="0"/>
                                  <w:position w:val="0"/>
                                  <w:sz w:val="22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160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Type of accreditation (i.e. ISO 17025, ISO 15195..)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259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Type of Accreditation: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563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6.b Proficiency Testing</w:t>
            </w:r>
          </w:p>
        </w:tc>
        <w:tc>
          <w:tcPr>
            <w:tcW w:w="66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2978"/>
              <w:gridCol w:w="3294"/>
            </w:tblGrid>
            <w:tr>
              <w:trPr>
                <w:trHeight w:val="170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29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Place an “X” against 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Yes or No</w:t>
                  </w:r>
                </w:p>
              </w:tc>
            </w:tr>
            <w:tr>
              <w:trPr>
                <w:trHeight w:val="1412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Do you participate in any external quality assurance or proficiency testing schemes?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329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tbl>
                  <w:tblPr/>
                  <w:tblGrid>
                    <w:gridCol w:w="1182"/>
                    <w:gridCol w:w="1183"/>
                  </w:tblGrid>
                  <w:tr>
                    <w:trPr>
                      <w:trHeight w:val="620" w:hRule="auto"/>
                      <w:jc w:val="left"/>
                    </w:trPr>
                    <w:tc>
                      <w:tcPr>
                        <w:tcW w:w="1182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  <w:t xml:space="preserve">Yes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</w:pPr>
                      </w:p>
                      <w:tbl>
                        <w:tblPr>
                          <w:tblInd w:w="176" w:type="dxa"/>
                        </w:tblPr>
                        <w:tblGrid>
                          <w:gridCol w:w="453"/>
                        </w:tblGrid>
                        <w:tr>
                          <w:trPr>
                            <w:trHeight w:val="311" w:hRule="auto"/>
                            <w:jc w:val="left"/>
                          </w:trPr>
                          <w:tc>
                            <w:tcPr>
                              <w:tcW w:w="453" w:type="dxa"/>
                              <w:tcBorders>
                                <w:top w:val="single" w:color="000000" w:sz="4"/>
                                <w:left w:val="single" w:color="000000" w:sz="4"/>
                                <w:bottom w:val="single" w:color="000000" w:sz="4"/>
                                <w:right w:val="single" w:color="000000" w:sz="4"/>
                              </w:tcBorders>
                              <w:shd w:color="000000" w:fill="ffffff"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tabs>
                                  <w:tab w:val="left" w:pos="284" w:leader="none"/>
                                  <w:tab w:val="left" w:pos="851" w:leader="none"/>
                                </w:tabs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rFonts w:ascii="Calibri" w:hAnsi="Calibri" w:cs="Calibri" w:eastAsia="Calibri"/>
                                  <w:color w:val="auto"/>
                                  <w:spacing w:val="0"/>
                                  <w:position w:val="0"/>
                                  <w:sz w:val="22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  <w:tr>
                    <w:trPr>
                      <w:trHeight w:val="728" w:hRule="auto"/>
                      <w:jc w:val="left"/>
                    </w:trPr>
                    <w:tc>
                      <w:tcPr>
                        <w:tcW w:w="1182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  <w:t xml:space="preserve">No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color="000000" w:sz="4"/>
                          <w:left w:val="single" w:color="000000" w:sz="4"/>
                          <w:bottom w:val="single" w:color="000000" w:sz="4"/>
                          <w:right w:val="single" w:color="000000" w:sz="4"/>
                        </w:tcBorders>
                        <w:shd w:color="000000" w:fill="ffffff"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tabs>
                            <w:tab w:val="left" w:pos="284" w:leader="none"/>
                            <w:tab w:val="left" w:pos="851" w:leader="none"/>
                          </w:tabs>
                          <w:spacing w:before="0" w:after="0" w:line="240"/>
                          <w:ind w:right="0" w:left="0" w:firstLine="0"/>
                          <w:jc w:val="left"/>
                          <w:rPr>
                            <w:rFonts w:ascii="Arial" w:hAnsi="Arial" w:cs="Arial" w:eastAsia="Arial"/>
                            <w:b/>
                            <w:color w:val="000000"/>
                            <w:spacing w:val="0"/>
                            <w:position w:val="0"/>
                            <w:sz w:val="20"/>
                            <w:shd w:fill="auto" w:val="clear"/>
                          </w:rPr>
                        </w:pPr>
                      </w:p>
                      <w:tbl>
                        <w:tblPr>
                          <w:tblInd w:w="176" w:type="dxa"/>
                        </w:tblPr>
                        <w:tblGrid>
                          <w:gridCol w:w="453"/>
                        </w:tblGrid>
                        <w:tr>
                          <w:trPr>
                            <w:trHeight w:val="311" w:hRule="auto"/>
                            <w:jc w:val="left"/>
                          </w:trPr>
                          <w:tc>
                            <w:tcPr>
                              <w:tcW w:w="453" w:type="dxa"/>
                              <w:tcBorders>
                                <w:top w:val="single" w:color="000000" w:sz="4"/>
                                <w:left w:val="single" w:color="000000" w:sz="4"/>
                                <w:bottom w:val="single" w:color="000000" w:sz="4"/>
                                <w:right w:val="single" w:color="000000" w:sz="4"/>
                              </w:tcBorders>
                              <w:shd w:color="000000" w:fill="ffffff" w:val="clear"/>
                              <w:tcMar>
                                <w:left w:w="108" w:type="dxa"/>
                                <w:right w:w="108" w:type="dxa"/>
                              </w:tcMar>
                              <w:vAlign w:val="center"/>
                            </w:tcPr>
                            <w:p>
                              <w:pPr>
                                <w:tabs>
                                  <w:tab w:val="left" w:pos="284" w:leader="none"/>
                                  <w:tab w:val="left" w:pos="851" w:leader="none"/>
                                </w:tabs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rFonts w:ascii="Calibri" w:hAnsi="Calibri" w:cs="Calibri" w:eastAsia="Calibri"/>
                                  <w:color w:val="auto"/>
                                  <w:spacing w:val="0"/>
                                  <w:position w:val="0"/>
                                  <w:sz w:val="22"/>
                                  <w:shd w:fill="auto" w:val="clear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spacing w:val="0"/>
                            <w:position w:val="0"/>
                            <w:shd w:fill="auto" w:val="clear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160" w:hRule="auto"/>
                <w:jc w:val="left"/>
              </w:trPr>
              <w:tc>
                <w:tcPr>
                  <w:tcW w:w="297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Name of external quality assurance or proficiency testing schemes: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329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Scheme(s) name: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2093"/>
        <w:gridCol w:w="6745"/>
      </w:tblGrid>
      <w:tr>
        <w:trPr>
          <w:trHeight w:val="70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6.c Select the setting which best describes your group.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6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3302"/>
              <w:gridCol w:w="3150"/>
            </w:tblGrid>
            <w:tr>
              <w:trPr>
                <w:trHeight w:val="372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Place an “X” next to your selection</w:t>
                  </w: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560" w:leader="none"/>
                      <w:tab w:val="left" w:pos="1120" w:leader="none"/>
                      <w:tab w:val="left" w:pos="1680" w:leader="none"/>
                      <w:tab w:val="left" w:pos="2240" w:leader="none"/>
                      <w:tab w:val="left" w:pos="2800" w:leader="none"/>
                      <w:tab w:val="left" w:pos="3360" w:leader="none"/>
                      <w:tab w:val="left" w:pos="3920" w:leader="none"/>
                      <w:tab w:val="left" w:pos="4480" w:leader="none"/>
                      <w:tab w:val="left" w:pos="5040" w:leader="none"/>
                      <w:tab w:val="left" w:pos="5600" w:leader="none"/>
                      <w:tab w:val="left" w:pos="6160" w:leader="none"/>
                      <w:tab w:val="left" w:pos="6720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Academic</w:t>
                  </w:r>
                </w:p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Government/State Hospital Laboratory</w:t>
                  </w: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Government/State Pathology Laboratory</w:t>
                  </w: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Private Hospital Laboratory</w:t>
                  </w: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Private Pathology Laboratory</w:t>
                  </w: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Life Science company</w:t>
                  </w: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Reference Material Provider</w:t>
                  </w: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Other (specify)</w:t>
                  </w:r>
                </w:p>
              </w:tc>
              <w:tc>
                <w:tcPr>
                  <w:tcW w:w="31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</w:t>
            </w:r>
          </w:p>
        </w:tc>
      </w:tr>
    </w:tbl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2093"/>
        <w:gridCol w:w="7015"/>
      </w:tblGrid>
      <w:tr>
        <w:trPr>
          <w:trHeight w:val="13355" w:hRule="auto"/>
          <w:jc w:val="left"/>
        </w:trPr>
        <w:tc>
          <w:tcPr>
            <w:tcW w:w="20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6.d Basic Infrastructure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And Sample Analysis</w:t>
            </w:r>
          </w:p>
        </w:tc>
        <w:tc>
          <w:tcPr>
            <w:tcW w:w="70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Sample numbers and sample types.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3302"/>
              <w:gridCol w:w="2700"/>
            </w:tblGrid>
            <w:tr>
              <w:trPr>
                <w:trHeight w:val="372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Number of samples analysed</w:t>
                  </w:r>
                </w:p>
              </w:tc>
              <w:tc>
                <w:tcPr>
                  <w:tcW w:w="270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Number of samples per month</w:t>
                  </w:r>
                </w:p>
              </w:tc>
              <w:tc>
                <w:tcPr>
                  <w:tcW w:w="270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Sample types analysed</w:t>
                  </w:r>
                </w:p>
              </w:tc>
              <w:tc>
                <w:tcPr>
                  <w:tcW w:w="270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Blood</w:t>
                  </w:r>
                </w:p>
              </w:tc>
              <w:tc>
                <w:tcPr>
                  <w:tcW w:w="270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Other including buccal swab, saliva, tissue  (please state the specific sample type)</w:t>
                  </w:r>
                </w:p>
              </w:tc>
              <w:tc>
                <w:tcPr>
                  <w:tcW w:w="270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Liquid based cytology</w:t>
                  </w:r>
                </w:p>
              </w:tc>
              <w:tc>
                <w:tcPr>
                  <w:tcW w:w="270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330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Microbiological media</w:t>
                  </w:r>
                </w:p>
              </w:tc>
              <w:tc>
                <w:tcPr>
                  <w:tcW w:w="270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b)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What technologies are currently being employed for by your laboratory in clinical practice? Rank the top three by placing a number by the method (example, real time quantitative PCR(1), Non PCR based amplifications (2) and gel electrophoresis (3))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tbl>
            <w:tblPr/>
            <w:tblGrid>
              <w:gridCol w:w="4311"/>
              <w:gridCol w:w="1511"/>
            </w:tblGrid>
            <w:tr>
              <w:trPr>
                <w:trHeight w:val="372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auto" w:fill="e6e6e6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center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b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Place an “X” next to your selection</w:t>
                  </w: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DNA sequencing (Sanger)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Restriction enzyme analysis of PCR products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Real-Time PCR (Quantitative)</w:t>
                  </w:r>
                </w:p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Real-Time PCR  (Qualitative)) 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DNA sequencing (massively parallel)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Gel electrophoresis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Non PCR based amplification methods (example, SDA, TMA, etc)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Southern Blotting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Circulating tumor cells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In house Bioinformatics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Circulating cell free DNA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Massively Parallel Sequencing (also known as NGS)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Mass Spectrometry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Linkage analysis using microsatellites or other markers.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DNA chip or microarray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373" w:hRule="auto"/>
                <w:jc w:val="left"/>
              </w:trPr>
              <w:tc>
                <w:tcPr>
                  <w:tcW w:w="43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Arial" w:hAnsi="Arial" w:cs="Arial" w:eastAsia="Arial"/>
                      <w:color w:val="000000"/>
                      <w:spacing w:val="0"/>
                      <w:position w:val="0"/>
                      <w:sz w:val="20"/>
                      <w:shd w:fill="auto" w:val="clear"/>
                    </w:rPr>
                    <w:t xml:space="preserve">Other Methods</w:t>
                  </w:r>
                </w:p>
              </w:tc>
              <w:tc>
                <w:tcPr>
                  <w:tcW w:w="151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84" w:leader="none"/>
                      <w:tab w:val="left" w:pos="851" w:leader="none"/>
                    </w:tabs>
                    <w:spacing w:before="0" w:after="0" w:line="240"/>
                    <w:ind w:right="0" w:left="0" w:firstLine="0"/>
                    <w:jc w:val="both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  <w:t xml:space="preserve"> </w:t>
      </w:r>
    </w:p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2073"/>
        <w:gridCol w:w="6226"/>
      </w:tblGrid>
      <w:tr>
        <w:trPr>
          <w:trHeight w:val="13130" w:hRule="auto"/>
          <w:jc w:val="left"/>
        </w:trPr>
        <w:tc>
          <w:tcPr>
            <w:tcW w:w="20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6.e Participation in national or international studies or societies or relevant projects.</w:t>
            </w:r>
          </w:p>
        </w:tc>
        <w:tc>
          <w:tcPr>
            <w:tcW w:w="6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If applicable, cite areas of national and international collaboration in the area of interest (please limit to this one page highlighting areas of greatest importance and relevance).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3535" w:hRule="auto"/>
          <w:jc w:val="left"/>
        </w:trPr>
        <w:tc>
          <w:tcPr>
            <w:tcW w:w="20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6.f Publications</w:t>
            </w:r>
          </w:p>
        </w:tc>
        <w:tc>
          <w:tcPr>
            <w:tcW w:w="6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List if any, publications (max 10) you have in the area of interest, relevant to molecular diagnostics.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284" w:firstLine="0"/>
        <w:jc w:val="both"/>
        <w:rPr>
          <w:rFonts w:ascii="Arial" w:hAnsi="Arial" w:cs="Arial" w:eastAsia="Arial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2">
    <w:lvl w:ilvl="0">
      <w:start w:val="1"/>
      <w:numFmt w:val="lowerLetter"/>
      <w:lvlText w:val="%1."/>
    </w:lvl>
  </w:abstractNum>
  <w:num w:numId="39">
    <w:abstractNumId w:val="2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lisa.ionescu@ifcc.org" Id="docRId0" Type="http://schemas.openxmlformats.org/officeDocument/2006/relationships/hyperlink"/><Relationship TargetMode="External" Target="mailto:parviz.ahmad-nejad@helios-gesundheit.de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