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1BA" w:rsidRPr="00B75B53" w:rsidRDefault="003D11BA" w:rsidP="00212E31">
      <w:pPr>
        <w:spacing w:line="360" w:lineRule="auto"/>
        <w:rPr>
          <w:b/>
          <w:lang w:val="en-CA"/>
        </w:rPr>
      </w:pPr>
      <w:r>
        <w:rPr>
          <w:b/>
          <w:lang w:val="en-CA"/>
        </w:rPr>
        <w:t>Detection of antinuclear antibodies.  Consensus-based recommendations from EFLM, EASI and ICAP.</w:t>
      </w:r>
    </w:p>
    <w:p w:rsidR="003D11BA" w:rsidRDefault="003D11BA" w:rsidP="00212E31">
      <w:pPr>
        <w:spacing w:line="360" w:lineRule="auto"/>
        <w:rPr>
          <w:b/>
          <w:lang w:val="en-CA"/>
        </w:rPr>
      </w:pPr>
    </w:p>
    <w:p w:rsidR="003D11BA" w:rsidRPr="00132C03" w:rsidRDefault="003D11BA" w:rsidP="00212E31">
      <w:pPr>
        <w:spacing w:line="240" w:lineRule="auto"/>
        <w:rPr>
          <w:lang w:val="en-CA"/>
        </w:rPr>
      </w:pPr>
      <w:r w:rsidRPr="002A390C">
        <w:rPr>
          <w:lang w:val="en-CA"/>
        </w:rPr>
        <w:t>Carolien Bonroy</w:t>
      </w:r>
      <w:r w:rsidRPr="00F029D4">
        <w:rPr>
          <w:vertAlign w:val="superscript"/>
          <w:lang w:val="en-CA"/>
        </w:rPr>
        <w:t>1</w:t>
      </w:r>
      <w:r w:rsidRPr="002A390C">
        <w:rPr>
          <w:lang w:val="en-CA"/>
        </w:rPr>
        <w:t>*, Martine Vercammen</w:t>
      </w:r>
      <w:r w:rsidRPr="00F029D4">
        <w:rPr>
          <w:vertAlign w:val="superscript"/>
          <w:lang w:val="en-CA"/>
        </w:rPr>
        <w:t>2</w:t>
      </w:r>
      <w:r w:rsidRPr="002A390C">
        <w:rPr>
          <w:lang w:val="en-CA"/>
        </w:rPr>
        <w:t>*, Walter Fierz</w:t>
      </w:r>
      <w:r w:rsidRPr="00F029D4">
        <w:rPr>
          <w:vertAlign w:val="superscript"/>
          <w:lang w:val="en-CA"/>
        </w:rPr>
        <w:t>3</w:t>
      </w:r>
      <w:r w:rsidRPr="002A390C">
        <w:rPr>
          <w:lang w:val="en-CA"/>
        </w:rPr>
        <w:t>, Benoit Nespola</w:t>
      </w:r>
      <w:r>
        <w:rPr>
          <w:vertAlign w:val="superscript"/>
          <w:lang w:val="en-CA"/>
        </w:rPr>
        <w:t>4</w:t>
      </w:r>
      <w:r w:rsidRPr="00F029D4">
        <w:rPr>
          <w:lang w:val="en-CA"/>
        </w:rPr>
        <w:t xml:space="preserve">, </w:t>
      </w:r>
      <w:r>
        <w:rPr>
          <w:lang w:val="en-CA"/>
        </w:rPr>
        <w:t>Sylvia Broeders</w:t>
      </w:r>
      <w:r>
        <w:rPr>
          <w:vertAlign w:val="superscript"/>
          <w:lang w:val="en-CA"/>
        </w:rPr>
        <w:t>5</w:t>
      </w:r>
      <w:r>
        <w:rPr>
          <w:lang w:val="en-CA"/>
        </w:rPr>
        <w:t>, Dina Patel</w:t>
      </w:r>
      <w:r>
        <w:rPr>
          <w:vertAlign w:val="superscript"/>
          <w:lang w:val="en-CA"/>
        </w:rPr>
        <w:t>6</w:t>
      </w:r>
      <w:r>
        <w:rPr>
          <w:lang w:val="en-CA"/>
        </w:rPr>
        <w:t xml:space="preserve">, </w:t>
      </w:r>
      <w:r w:rsidRPr="00132C03">
        <w:rPr>
          <w:lang w:val="en-CA"/>
        </w:rPr>
        <w:t>…….authors EASI</w:t>
      </w:r>
      <w:r>
        <w:rPr>
          <w:lang w:val="en-CA"/>
        </w:rPr>
        <w:t>,</w:t>
      </w:r>
      <w:r w:rsidRPr="00132C03">
        <w:rPr>
          <w:lang w:val="en-CA"/>
        </w:rPr>
        <w:t xml:space="preserve"> </w:t>
      </w:r>
      <w:r>
        <w:rPr>
          <w:lang w:val="en-CA"/>
        </w:rPr>
        <w:t>…</w:t>
      </w:r>
      <w:r w:rsidRPr="00132C03">
        <w:rPr>
          <w:lang w:val="en-CA"/>
        </w:rPr>
        <w:t xml:space="preserve"> </w:t>
      </w:r>
      <w:r>
        <w:rPr>
          <w:lang w:val="en-CA"/>
        </w:rPr>
        <w:t xml:space="preserve">authors </w:t>
      </w:r>
      <w:r w:rsidRPr="00132C03">
        <w:rPr>
          <w:lang w:val="en-CA"/>
        </w:rPr>
        <w:t>ICAP</w:t>
      </w:r>
      <w:r>
        <w:rPr>
          <w:lang w:val="en-CA"/>
        </w:rPr>
        <w:t>.......</w:t>
      </w:r>
      <w:r w:rsidRPr="00132C03">
        <w:rPr>
          <w:lang w:val="en-CA"/>
        </w:rPr>
        <w:t>, Marcos Lopez-Hoy</w:t>
      </w:r>
      <w:r>
        <w:rPr>
          <w:lang w:val="en-CA"/>
        </w:rPr>
        <w:t>o</w:t>
      </w:r>
      <w:r w:rsidRPr="00132C03">
        <w:rPr>
          <w:lang w:val="en-CA"/>
        </w:rPr>
        <w:t>s, Xavier Bossuyt</w:t>
      </w:r>
      <w:r>
        <w:rPr>
          <w:lang w:val="en-CA"/>
        </w:rPr>
        <w:t xml:space="preserve">; </w:t>
      </w:r>
      <w:r w:rsidRPr="002C1672">
        <w:rPr>
          <w:lang w:val="en-CA"/>
        </w:rPr>
        <w:t xml:space="preserve">for (i) the European Federation of Laboratory Medicine (EFLM) </w:t>
      </w:r>
      <w:r w:rsidR="00CA415F">
        <w:rPr>
          <w:lang w:val="en-CA"/>
        </w:rPr>
        <w:t>Working Group</w:t>
      </w:r>
      <w:r w:rsidRPr="002C1672">
        <w:rPr>
          <w:lang w:val="en-CA"/>
        </w:rPr>
        <w:t xml:space="preserve"> “Autoimmunity Testing,” (ii) the European Autoimmune Standardization Initiative (EASI) and (iii) </w:t>
      </w:r>
      <w:r>
        <w:rPr>
          <w:lang w:val="en-CA"/>
        </w:rPr>
        <w:t xml:space="preserve">International Consensus on Antinuclear Antibody Patterns (ICAP).   </w:t>
      </w:r>
    </w:p>
    <w:p w:rsidR="003D11BA" w:rsidRPr="00132C03" w:rsidRDefault="003D11BA" w:rsidP="00212E31">
      <w:pPr>
        <w:spacing w:line="240" w:lineRule="auto"/>
        <w:rPr>
          <w:lang w:val="en-CA"/>
        </w:rPr>
      </w:pPr>
      <w:r w:rsidRPr="00132C03">
        <w:rPr>
          <w:lang w:val="en-CA"/>
        </w:rPr>
        <w:t>*share</w:t>
      </w:r>
      <w:r>
        <w:rPr>
          <w:lang w:val="en-CA"/>
        </w:rPr>
        <w:t>d</w:t>
      </w:r>
      <w:r w:rsidRPr="00132C03">
        <w:rPr>
          <w:lang w:val="en-CA"/>
        </w:rPr>
        <w:t xml:space="preserve"> first authorship</w:t>
      </w:r>
    </w:p>
    <w:p w:rsidR="003D11BA" w:rsidRPr="00F029D4" w:rsidRDefault="003D11BA" w:rsidP="00212E31">
      <w:pPr>
        <w:spacing w:line="240" w:lineRule="auto"/>
        <w:rPr>
          <w:lang w:val="en-CA"/>
        </w:rPr>
      </w:pPr>
    </w:p>
    <w:p w:rsidR="003D11BA" w:rsidRDefault="003D11BA" w:rsidP="00212E31">
      <w:pPr>
        <w:spacing w:line="240" w:lineRule="auto"/>
        <w:rPr>
          <w:lang w:val="en-CA"/>
        </w:rPr>
      </w:pPr>
      <w:r w:rsidRPr="00F029D4">
        <w:rPr>
          <w:vertAlign w:val="superscript"/>
          <w:lang w:val="en-CA"/>
        </w:rPr>
        <w:t>1</w:t>
      </w:r>
      <w:r w:rsidRPr="00F029D4">
        <w:rPr>
          <w:lang w:val="en-CA"/>
        </w:rPr>
        <w:t xml:space="preserve">Department of Diagnostic Sciences, Ghent University </w:t>
      </w:r>
      <w:r>
        <w:rPr>
          <w:lang w:val="en-CA"/>
        </w:rPr>
        <w:t>and Department o</w:t>
      </w:r>
      <w:r w:rsidRPr="00F029D4">
        <w:rPr>
          <w:lang w:val="en-CA"/>
        </w:rPr>
        <w:t>f Laboratory Medicine, Ghent University Hospitals, Ghent, Belgium</w:t>
      </w:r>
      <w:r>
        <w:rPr>
          <w:lang w:val="en-CA"/>
        </w:rPr>
        <w:t>.</w:t>
      </w:r>
    </w:p>
    <w:p w:rsidR="003D11BA" w:rsidRDefault="003D11BA" w:rsidP="00212E31">
      <w:pPr>
        <w:spacing w:line="240" w:lineRule="auto"/>
        <w:rPr>
          <w:lang w:val="en-CA"/>
        </w:rPr>
      </w:pPr>
      <w:r w:rsidRPr="00F029D4">
        <w:rPr>
          <w:vertAlign w:val="superscript"/>
          <w:lang w:val="en-CA"/>
        </w:rPr>
        <w:t>2</w:t>
      </w:r>
      <w:r w:rsidRPr="00270B09">
        <w:rPr>
          <w:lang w:val="en-CA"/>
        </w:rPr>
        <w:t>Department of Laboratory Medicine, AZ Sint-Jan, Brugge, Belgium</w:t>
      </w:r>
      <w:r>
        <w:rPr>
          <w:lang w:val="en-CA"/>
        </w:rPr>
        <w:t>.</w:t>
      </w:r>
    </w:p>
    <w:p w:rsidR="003D11BA" w:rsidRPr="0024622E" w:rsidRDefault="003D11BA" w:rsidP="00212E31">
      <w:pPr>
        <w:spacing w:line="240" w:lineRule="auto"/>
      </w:pPr>
      <w:r w:rsidRPr="0024622E">
        <w:rPr>
          <w:vertAlign w:val="superscript"/>
        </w:rPr>
        <w:t>3</w:t>
      </w:r>
      <w:r w:rsidRPr="0024622E">
        <w:t>Schweizerischer Verband der Diagnostikindustrie (SVDI-ASID), Bern, Switzerland.</w:t>
      </w:r>
    </w:p>
    <w:p w:rsidR="003D11BA" w:rsidRPr="00F029D4" w:rsidRDefault="003D11BA" w:rsidP="00212E31">
      <w:pPr>
        <w:spacing w:line="240" w:lineRule="auto"/>
        <w:rPr>
          <w:lang w:val="fr-FR"/>
        </w:rPr>
      </w:pPr>
      <w:r>
        <w:rPr>
          <w:vertAlign w:val="superscript"/>
          <w:lang w:val="fr-FR"/>
        </w:rPr>
        <w:t>4</w:t>
      </w:r>
      <w:r w:rsidRPr="00F029D4">
        <w:rPr>
          <w:lang w:val="fr-FR"/>
        </w:rPr>
        <w:t>Laboratoire d’Immunologie, Les Hôpitaux universitaires de Strasbourg, France</w:t>
      </w:r>
    </w:p>
    <w:p w:rsidR="003D11BA" w:rsidRPr="00605638" w:rsidRDefault="003D11BA" w:rsidP="00212E31">
      <w:pPr>
        <w:spacing w:line="240" w:lineRule="auto"/>
        <w:rPr>
          <w:lang w:val="en-US"/>
        </w:rPr>
      </w:pPr>
      <w:r w:rsidRPr="00605638">
        <w:rPr>
          <w:vertAlign w:val="superscript"/>
          <w:lang w:val="en-US"/>
        </w:rPr>
        <w:t>5</w:t>
      </w:r>
      <w:r w:rsidRPr="00605638">
        <w:rPr>
          <w:lang w:val="en-US"/>
        </w:rPr>
        <w:t>Sciensan</w:t>
      </w:r>
      <w:r w:rsidR="002E5D1F" w:rsidRPr="00605638">
        <w:rPr>
          <w:lang w:val="en-US"/>
        </w:rPr>
        <w:t>o</w:t>
      </w:r>
      <w:r w:rsidRPr="00605638">
        <w:rPr>
          <w:lang w:val="en-US"/>
        </w:rPr>
        <w:t>, Belgium</w:t>
      </w:r>
    </w:p>
    <w:p w:rsidR="003D11BA" w:rsidRPr="002E5D1F" w:rsidRDefault="003D11BA" w:rsidP="00212E31">
      <w:pPr>
        <w:spacing w:line="240" w:lineRule="auto"/>
        <w:rPr>
          <w:lang w:val="en-US"/>
        </w:rPr>
      </w:pPr>
      <w:r w:rsidRPr="002E5D1F">
        <w:rPr>
          <w:vertAlign w:val="superscript"/>
          <w:lang w:val="en-US"/>
        </w:rPr>
        <w:t>6</w:t>
      </w:r>
      <w:r w:rsidRPr="002E5D1F">
        <w:rPr>
          <w:lang w:val="en-US"/>
        </w:rPr>
        <w:t xml:space="preserve">UKNEQAS, </w:t>
      </w:r>
      <w:r w:rsidR="00605638">
        <w:rPr>
          <w:lang w:val="en-US"/>
        </w:rPr>
        <w:t xml:space="preserve">Immunology, Immunochemistry &amp; Allergy (IIA), </w:t>
      </w:r>
      <w:r w:rsidRPr="002E5D1F">
        <w:rPr>
          <w:lang w:val="en-US"/>
        </w:rPr>
        <w:t>UK</w:t>
      </w:r>
    </w:p>
    <w:p w:rsidR="003D11BA" w:rsidRPr="002E5D1F" w:rsidRDefault="003D11BA" w:rsidP="00212E31">
      <w:pPr>
        <w:spacing w:line="240" w:lineRule="auto"/>
        <w:rPr>
          <w:lang w:val="en-US"/>
        </w:rPr>
      </w:pPr>
    </w:p>
    <w:p w:rsidR="003D11BA" w:rsidRPr="002E5D1F" w:rsidRDefault="003D11BA" w:rsidP="00212E31">
      <w:pPr>
        <w:spacing w:line="240" w:lineRule="auto"/>
        <w:rPr>
          <w:lang w:val="en-US"/>
        </w:rPr>
      </w:pPr>
      <w:r w:rsidRPr="002E5D1F">
        <w:rPr>
          <w:lang w:val="en-US"/>
        </w:rPr>
        <w:t>…..</w:t>
      </w:r>
    </w:p>
    <w:p w:rsidR="003D11BA" w:rsidRDefault="003D11BA" w:rsidP="00212E31">
      <w:pPr>
        <w:spacing w:line="240" w:lineRule="auto"/>
        <w:rPr>
          <w:lang w:val="en-US"/>
        </w:rPr>
      </w:pPr>
    </w:p>
    <w:p w:rsidR="003D11BA" w:rsidRDefault="003D11BA" w:rsidP="00212E31">
      <w:pPr>
        <w:spacing w:line="240" w:lineRule="auto"/>
        <w:rPr>
          <w:lang w:val="en-US"/>
        </w:rPr>
      </w:pPr>
      <w:r>
        <w:rPr>
          <w:lang w:val="en-US"/>
        </w:rPr>
        <w:t xml:space="preserve">MLH:  </w:t>
      </w:r>
      <w:r w:rsidRPr="00FB0B2A">
        <w:rPr>
          <w:lang w:val="en-US"/>
        </w:rPr>
        <w:t>Immunology Service, University Hospital Marques de Valdecilla-IDIVAL, University of Cantabria, Santander, Spain.</w:t>
      </w:r>
    </w:p>
    <w:p w:rsidR="003D11BA" w:rsidRPr="00FB0B2A" w:rsidRDefault="003D11BA" w:rsidP="00212E31">
      <w:pPr>
        <w:spacing w:line="240" w:lineRule="auto"/>
        <w:rPr>
          <w:lang w:val="en-US"/>
        </w:rPr>
      </w:pPr>
      <w:r>
        <w:rPr>
          <w:lang w:val="en-US"/>
        </w:rPr>
        <w:t>XB: Department of Microbiology, Immunology and Transplantation, KU Leuven and Department of Laboratory Medicine, University Hospital Leuven, Leuven, Belgium.</w:t>
      </w:r>
    </w:p>
    <w:p w:rsidR="003D11BA" w:rsidRPr="00FB0B2A" w:rsidRDefault="00CA0EBB" w:rsidP="00212E31">
      <w:pPr>
        <w:spacing w:line="240" w:lineRule="auto"/>
        <w:rPr>
          <w:lang w:val="en-US"/>
        </w:rPr>
      </w:pPr>
      <w:r>
        <w:rPr>
          <w:lang w:val="en-US"/>
        </w:rPr>
        <w:t>Correspondence: xavier.bossuyt@uzleuven.be</w:t>
      </w:r>
    </w:p>
    <w:p w:rsidR="003D11BA" w:rsidRPr="00F029D4" w:rsidRDefault="003D11BA" w:rsidP="00212E31">
      <w:pPr>
        <w:spacing w:line="240" w:lineRule="auto"/>
        <w:rPr>
          <w:lang w:val="en-US"/>
        </w:rPr>
      </w:pPr>
    </w:p>
    <w:p w:rsidR="003D11BA" w:rsidRPr="00F029D4" w:rsidRDefault="003D11BA" w:rsidP="00212E31">
      <w:pPr>
        <w:spacing w:line="360" w:lineRule="auto"/>
        <w:rPr>
          <w:b/>
          <w:lang w:val="en-US"/>
        </w:rPr>
      </w:pPr>
    </w:p>
    <w:p w:rsidR="003D11BA" w:rsidRDefault="003D11BA">
      <w:pPr>
        <w:rPr>
          <w:b/>
          <w:smallCaps/>
          <w:lang w:val="en-CA"/>
        </w:rPr>
      </w:pPr>
      <w:r>
        <w:rPr>
          <w:b/>
          <w:smallCaps/>
          <w:lang w:val="en-CA"/>
        </w:rPr>
        <w:br w:type="page"/>
      </w:r>
    </w:p>
    <w:p w:rsidR="003D11BA" w:rsidRPr="001A4D37" w:rsidRDefault="003D11BA" w:rsidP="00212E31">
      <w:pPr>
        <w:spacing w:line="360" w:lineRule="auto"/>
        <w:rPr>
          <w:b/>
          <w:smallCaps/>
          <w:lang w:val="en-CA"/>
        </w:rPr>
      </w:pPr>
      <w:r w:rsidRPr="001A4D37">
        <w:rPr>
          <w:b/>
          <w:smallCaps/>
          <w:lang w:val="en-CA"/>
        </w:rPr>
        <w:lastRenderedPageBreak/>
        <w:t>Abstract</w:t>
      </w:r>
    </w:p>
    <w:p w:rsidR="003D11BA" w:rsidRDefault="003D11BA" w:rsidP="00212E31">
      <w:pPr>
        <w:spacing w:after="0" w:line="240" w:lineRule="auto"/>
        <w:rPr>
          <w:lang w:val="en-CA"/>
        </w:rPr>
      </w:pPr>
      <w:r w:rsidRPr="006F6425">
        <w:rPr>
          <w:lang w:val="en-CA"/>
        </w:rPr>
        <w:t xml:space="preserve">Anti-nuclear antibodies (ANA) are </w:t>
      </w:r>
      <w:r>
        <w:rPr>
          <w:lang w:val="en-CA"/>
        </w:rPr>
        <w:t>important</w:t>
      </w:r>
      <w:r w:rsidRPr="006F6425">
        <w:rPr>
          <w:lang w:val="en-CA"/>
        </w:rPr>
        <w:t xml:space="preserve"> for the diagnosis of </w:t>
      </w:r>
      <w:r>
        <w:rPr>
          <w:lang w:val="en-CA"/>
        </w:rPr>
        <w:t xml:space="preserve">various </w:t>
      </w:r>
      <w:r w:rsidRPr="006F6425">
        <w:rPr>
          <w:lang w:val="en-CA"/>
        </w:rPr>
        <w:t>autoimmune diseases</w:t>
      </w:r>
      <w:r>
        <w:rPr>
          <w:lang w:val="en-CA"/>
        </w:rPr>
        <w:t>. ANA are classically detected by indirect immunofluorescence (IIF) using HEp-2 cells.  There are many variables such as visual reading, screening dilution, substrate and conjugate that can influence IIF results.  New developments, including automated computer based diagnosis (CAD) systems and solid phase assays have been introduced in clinical laboratories and offer novel</w:t>
      </w:r>
      <w:r w:rsidRPr="00B06981">
        <w:rPr>
          <w:lang w:val="en-CA"/>
        </w:rPr>
        <w:t xml:space="preserve"> </w:t>
      </w:r>
      <w:r>
        <w:rPr>
          <w:lang w:val="en-CA"/>
        </w:rPr>
        <w:t xml:space="preserve">prospects.  </w:t>
      </w:r>
    </w:p>
    <w:p w:rsidR="003D11BA" w:rsidRPr="008047C9" w:rsidRDefault="003D11BA" w:rsidP="00212E31">
      <w:pPr>
        <w:spacing w:line="240" w:lineRule="auto"/>
        <w:jc w:val="both"/>
        <w:rPr>
          <w:lang w:val="en-CA"/>
        </w:rPr>
      </w:pPr>
      <w:r>
        <w:rPr>
          <w:lang w:val="en-CA"/>
        </w:rPr>
        <w:t xml:space="preserve">A group of </w:t>
      </w:r>
      <w:r w:rsidRPr="006F6425">
        <w:rPr>
          <w:lang w:val="en-CA"/>
        </w:rPr>
        <w:t xml:space="preserve">experts </w:t>
      </w:r>
      <w:r>
        <w:rPr>
          <w:lang w:val="en-CA"/>
        </w:rPr>
        <w:t xml:space="preserve">reviewed current literature and established </w:t>
      </w:r>
      <w:r w:rsidRPr="006F6425">
        <w:rPr>
          <w:lang w:val="en-CA"/>
        </w:rPr>
        <w:t xml:space="preserve">recommendations </w:t>
      </w:r>
      <w:r>
        <w:rPr>
          <w:lang w:val="en-CA"/>
        </w:rPr>
        <w:t xml:space="preserve">on methodological aspects of </w:t>
      </w:r>
      <w:r w:rsidRPr="006F6425">
        <w:rPr>
          <w:lang w:val="en-CA"/>
        </w:rPr>
        <w:t xml:space="preserve">ANA testing. </w:t>
      </w:r>
      <w:r>
        <w:rPr>
          <w:lang w:val="en-CA"/>
        </w:rPr>
        <w:t xml:space="preserve">The international expert groups that </w:t>
      </w:r>
      <w:r w:rsidRPr="006F6425">
        <w:rPr>
          <w:lang w:val="en-CA"/>
        </w:rPr>
        <w:t>participated in this initiative</w:t>
      </w:r>
      <w:r>
        <w:rPr>
          <w:lang w:val="en-CA"/>
        </w:rPr>
        <w:t xml:space="preserve"> include(i)  the </w:t>
      </w:r>
      <w:r w:rsidRPr="00197444">
        <w:rPr>
          <w:lang w:val="en-CA"/>
        </w:rPr>
        <w:t xml:space="preserve">European Federation of </w:t>
      </w:r>
      <w:r>
        <w:rPr>
          <w:lang w:val="en-CA"/>
        </w:rPr>
        <w:t xml:space="preserve">Clinical Chemistry and </w:t>
      </w:r>
      <w:r w:rsidRPr="00197444">
        <w:rPr>
          <w:lang w:val="en-CA"/>
        </w:rPr>
        <w:t xml:space="preserve">Laboratory Medicine (EFLM) </w:t>
      </w:r>
      <w:r w:rsidR="00CA415F">
        <w:rPr>
          <w:lang w:val="en-CA"/>
        </w:rPr>
        <w:t xml:space="preserve">Working </w:t>
      </w:r>
      <w:r w:rsidRPr="00197444">
        <w:rPr>
          <w:lang w:val="en-CA"/>
        </w:rPr>
        <w:t>Group “Autoimmunity Testing,” (ii) the European Autoimmune Standardization Initiative (EASI)</w:t>
      </w:r>
      <w:r>
        <w:rPr>
          <w:lang w:val="en-CA"/>
        </w:rPr>
        <w:t xml:space="preserve"> and (iii) </w:t>
      </w:r>
      <w:r w:rsidRPr="008D6C32">
        <w:rPr>
          <w:i/>
          <w:lang w:val="en-CA"/>
        </w:rPr>
        <w:t>? the international consensus on ANA patterns (ICAP)?.</w:t>
      </w:r>
      <w:r>
        <w:rPr>
          <w:i/>
          <w:lang w:val="en-CA"/>
        </w:rPr>
        <w:t xml:space="preserve">  </w:t>
      </w:r>
      <w:r>
        <w:rPr>
          <w:lang w:val="en-CA"/>
        </w:rPr>
        <w:t>The recommendations relate to (i)</w:t>
      </w:r>
      <w:r w:rsidRPr="008047C9">
        <w:rPr>
          <w:lang w:val="en-CA"/>
        </w:rPr>
        <w:t xml:space="preserve"> </w:t>
      </w:r>
      <w:r w:rsidRPr="006328BC">
        <w:rPr>
          <w:lang w:val="en-CA"/>
        </w:rPr>
        <w:t>ANA testing</w:t>
      </w:r>
      <w:r>
        <w:rPr>
          <w:lang w:val="en-CA"/>
        </w:rPr>
        <w:t xml:space="preserve"> and reporting by IIF</w:t>
      </w:r>
      <w:r w:rsidRPr="006328BC">
        <w:rPr>
          <w:lang w:val="en-CA"/>
        </w:rPr>
        <w:t>,</w:t>
      </w:r>
      <w:r>
        <w:rPr>
          <w:lang w:val="en-CA"/>
        </w:rPr>
        <w:t xml:space="preserve"> </w:t>
      </w:r>
      <w:r w:rsidRPr="006328BC">
        <w:rPr>
          <w:lang w:val="en-CA"/>
        </w:rPr>
        <w:t>(</w:t>
      </w:r>
      <w:r>
        <w:rPr>
          <w:lang w:val="en-CA"/>
        </w:rPr>
        <w:t>ii)</w:t>
      </w:r>
      <w:r w:rsidRPr="006328BC">
        <w:rPr>
          <w:lang w:val="en-CA"/>
        </w:rPr>
        <w:t xml:space="preserve"> IIF methodological aspects including the application of CAD systems</w:t>
      </w:r>
      <w:r>
        <w:rPr>
          <w:lang w:val="en-CA"/>
        </w:rPr>
        <w:t xml:space="preserve">, (iii) </w:t>
      </w:r>
      <w:r w:rsidRPr="006328BC">
        <w:rPr>
          <w:lang w:val="en-CA"/>
        </w:rPr>
        <w:t>quality assurance</w:t>
      </w:r>
      <w:r>
        <w:rPr>
          <w:lang w:val="en-CA"/>
        </w:rPr>
        <w:t xml:space="preserve"> </w:t>
      </w:r>
      <w:r w:rsidRPr="006328BC">
        <w:rPr>
          <w:lang w:val="en-CA"/>
        </w:rPr>
        <w:t>(</w:t>
      </w:r>
      <w:r>
        <w:rPr>
          <w:lang w:val="en-CA"/>
        </w:rPr>
        <w:t>iv)</w:t>
      </w:r>
      <w:r w:rsidRPr="006328BC">
        <w:rPr>
          <w:lang w:val="en-CA"/>
        </w:rPr>
        <w:t xml:space="preserve"> IIF validation/verification </w:t>
      </w:r>
      <w:r>
        <w:rPr>
          <w:lang w:val="en-CA"/>
        </w:rPr>
        <w:t>and (v) solid phase assays.  For each recommendation,  Delphi scoring was organized (</w:t>
      </w:r>
      <w:r w:rsidRPr="00BC1CDB">
        <w:rPr>
          <w:highlight w:val="yellow"/>
          <w:lang w:val="en-CA"/>
        </w:rPr>
        <w:t xml:space="preserve">to be </w:t>
      </w:r>
      <w:r>
        <w:rPr>
          <w:highlight w:val="yellow"/>
          <w:lang w:val="en-CA"/>
        </w:rPr>
        <w:t>done</w:t>
      </w:r>
      <w:r>
        <w:rPr>
          <w:lang w:val="en-CA"/>
        </w:rPr>
        <w:t xml:space="preserve">). </w:t>
      </w:r>
      <w:r w:rsidRPr="008D6C32">
        <w:rPr>
          <w:lang w:val="en-CA"/>
        </w:rPr>
        <w:t xml:space="preserve">These recommendations </w:t>
      </w:r>
      <w:r>
        <w:rPr>
          <w:lang w:val="en-CA"/>
        </w:rPr>
        <w:t xml:space="preserve">will support high quality ANA testing. </w:t>
      </w:r>
    </w:p>
    <w:p w:rsidR="003D11BA" w:rsidRDefault="003D11BA">
      <w:pPr>
        <w:rPr>
          <w:b/>
          <w:smallCaps/>
          <w:lang w:val="en-CA"/>
        </w:rPr>
      </w:pPr>
      <w:r>
        <w:rPr>
          <w:b/>
          <w:smallCaps/>
          <w:lang w:val="en-CA"/>
        </w:rPr>
        <w:br w:type="page"/>
      </w:r>
    </w:p>
    <w:p w:rsidR="003D11BA" w:rsidRPr="001A4D37" w:rsidRDefault="003D11BA" w:rsidP="00212E31">
      <w:pPr>
        <w:spacing w:after="0" w:line="360" w:lineRule="auto"/>
        <w:rPr>
          <w:b/>
          <w:smallCaps/>
          <w:lang w:val="en-CA"/>
        </w:rPr>
      </w:pPr>
      <w:r w:rsidRPr="001A4D37">
        <w:rPr>
          <w:b/>
          <w:smallCaps/>
          <w:lang w:val="en-CA"/>
        </w:rPr>
        <w:lastRenderedPageBreak/>
        <w:t>Table of contents</w:t>
      </w:r>
    </w:p>
    <w:p w:rsidR="003D11BA" w:rsidRDefault="003D11BA" w:rsidP="00212E31">
      <w:pPr>
        <w:spacing w:after="0" w:line="240" w:lineRule="auto"/>
        <w:rPr>
          <w:lang w:val="en-CA"/>
        </w:rPr>
      </w:pPr>
      <w:r>
        <w:rPr>
          <w:lang w:val="en-CA"/>
        </w:rPr>
        <w:t>Introduction</w:t>
      </w:r>
    </w:p>
    <w:p w:rsidR="003D11BA" w:rsidRDefault="003D11BA" w:rsidP="00212E31">
      <w:pPr>
        <w:spacing w:after="0" w:line="240" w:lineRule="auto"/>
        <w:rPr>
          <w:lang w:val="en-CA"/>
        </w:rPr>
      </w:pPr>
      <w:r>
        <w:rPr>
          <w:lang w:val="en-CA"/>
        </w:rPr>
        <w:t>Methods</w:t>
      </w:r>
    </w:p>
    <w:p w:rsidR="003D11BA" w:rsidRPr="00E75BAD" w:rsidRDefault="003D11BA" w:rsidP="00212E31">
      <w:pPr>
        <w:pStyle w:val="ListParagraph"/>
        <w:numPr>
          <w:ilvl w:val="0"/>
          <w:numId w:val="10"/>
        </w:numPr>
        <w:spacing w:after="0" w:line="240" w:lineRule="auto"/>
        <w:rPr>
          <w:lang w:val="en-CA"/>
        </w:rPr>
      </w:pPr>
      <w:r w:rsidRPr="00E75BAD">
        <w:rPr>
          <w:lang w:val="en-CA"/>
        </w:rPr>
        <w:t>Literature review and expert committees</w:t>
      </w:r>
    </w:p>
    <w:p w:rsidR="003D11BA" w:rsidRPr="00E75BAD" w:rsidRDefault="003D11BA" w:rsidP="00212E31">
      <w:pPr>
        <w:pStyle w:val="ListParagraph"/>
        <w:numPr>
          <w:ilvl w:val="0"/>
          <w:numId w:val="10"/>
        </w:numPr>
        <w:spacing w:after="0" w:line="240" w:lineRule="auto"/>
        <w:rPr>
          <w:lang w:val="en-CA"/>
        </w:rPr>
      </w:pPr>
      <w:r w:rsidRPr="00E75BAD">
        <w:rPr>
          <w:lang w:val="en-CA"/>
        </w:rPr>
        <w:t>Development of recommendation</w:t>
      </w:r>
    </w:p>
    <w:p w:rsidR="003D11BA" w:rsidRDefault="003D11BA" w:rsidP="00212E31">
      <w:pPr>
        <w:spacing w:after="0" w:line="240" w:lineRule="auto"/>
        <w:rPr>
          <w:lang w:val="en-CA"/>
        </w:rPr>
      </w:pPr>
      <w:r>
        <w:rPr>
          <w:lang w:val="en-CA"/>
        </w:rPr>
        <w:t>Clinical conditions associated with ANA</w:t>
      </w:r>
    </w:p>
    <w:p w:rsidR="003D11BA" w:rsidRPr="00927967" w:rsidRDefault="003D11BA" w:rsidP="00212E31">
      <w:pPr>
        <w:pStyle w:val="ListParagraph"/>
        <w:numPr>
          <w:ilvl w:val="0"/>
          <w:numId w:val="11"/>
        </w:numPr>
        <w:spacing w:after="0" w:line="240" w:lineRule="auto"/>
        <w:rPr>
          <w:lang w:val="en-CA"/>
        </w:rPr>
      </w:pPr>
      <w:r w:rsidRPr="00927967">
        <w:rPr>
          <w:lang w:val="en-CA"/>
        </w:rPr>
        <w:t>Systemic rheumatic diseases</w:t>
      </w:r>
    </w:p>
    <w:p w:rsidR="003D11BA" w:rsidRPr="00927967" w:rsidRDefault="003D11BA" w:rsidP="00212E31">
      <w:pPr>
        <w:pStyle w:val="ListParagraph"/>
        <w:numPr>
          <w:ilvl w:val="0"/>
          <w:numId w:val="11"/>
        </w:numPr>
        <w:spacing w:after="0" w:line="240" w:lineRule="auto"/>
        <w:rPr>
          <w:lang w:val="en-CA"/>
        </w:rPr>
      </w:pPr>
      <w:r w:rsidRPr="00927967">
        <w:rPr>
          <w:lang w:val="en-CA"/>
        </w:rPr>
        <w:t>Juvenile idiopathic arthritis</w:t>
      </w:r>
    </w:p>
    <w:p w:rsidR="003D11BA" w:rsidRPr="00927967" w:rsidRDefault="003D11BA" w:rsidP="00212E31">
      <w:pPr>
        <w:pStyle w:val="ListParagraph"/>
        <w:numPr>
          <w:ilvl w:val="0"/>
          <w:numId w:val="11"/>
        </w:numPr>
        <w:spacing w:after="0" w:line="240" w:lineRule="auto"/>
        <w:rPr>
          <w:lang w:val="en-CA"/>
        </w:rPr>
      </w:pPr>
      <w:r w:rsidRPr="00927967">
        <w:rPr>
          <w:lang w:val="en-CA"/>
        </w:rPr>
        <w:t>Autoimmune hepatitis</w:t>
      </w:r>
    </w:p>
    <w:p w:rsidR="003D11BA" w:rsidRPr="00927967" w:rsidRDefault="003D11BA" w:rsidP="00212E31">
      <w:pPr>
        <w:pStyle w:val="ListParagraph"/>
        <w:numPr>
          <w:ilvl w:val="0"/>
          <w:numId w:val="11"/>
        </w:numPr>
        <w:spacing w:after="0" w:line="240" w:lineRule="auto"/>
        <w:rPr>
          <w:lang w:val="en-CA"/>
        </w:rPr>
      </w:pPr>
      <w:r w:rsidRPr="00927967">
        <w:rPr>
          <w:lang w:val="en-CA"/>
        </w:rPr>
        <w:t>Primary biliary cholangitis</w:t>
      </w:r>
    </w:p>
    <w:p w:rsidR="003D11BA" w:rsidRDefault="003D11BA" w:rsidP="00212E31">
      <w:pPr>
        <w:spacing w:after="0" w:line="240" w:lineRule="auto"/>
        <w:rPr>
          <w:lang w:val="en-CA"/>
        </w:rPr>
      </w:pPr>
      <w:r>
        <w:rPr>
          <w:lang w:val="en-CA"/>
        </w:rPr>
        <w:t>ANA in the healthy population</w:t>
      </w:r>
    </w:p>
    <w:p w:rsidR="003D11BA" w:rsidRDefault="003D11BA" w:rsidP="00212E31">
      <w:pPr>
        <w:spacing w:after="0" w:line="240" w:lineRule="auto"/>
        <w:rPr>
          <w:lang w:val="en-CA"/>
        </w:rPr>
      </w:pPr>
      <w:r>
        <w:rPr>
          <w:lang w:val="en-CA"/>
        </w:rPr>
        <w:t>ANA by SPA</w:t>
      </w:r>
    </w:p>
    <w:p w:rsidR="003D11BA" w:rsidRDefault="003D11BA" w:rsidP="00212E31">
      <w:pPr>
        <w:spacing w:after="0" w:line="240" w:lineRule="auto"/>
        <w:rPr>
          <w:lang w:val="en-CA"/>
        </w:rPr>
      </w:pPr>
      <w:r w:rsidRPr="00927967">
        <w:rPr>
          <w:lang w:val="en-CA"/>
        </w:rPr>
        <w:t>ANA by H</w:t>
      </w:r>
      <w:r>
        <w:rPr>
          <w:lang w:val="en-CA"/>
        </w:rPr>
        <w:t>E</w:t>
      </w:r>
      <w:r w:rsidRPr="00927967">
        <w:rPr>
          <w:lang w:val="en-CA"/>
        </w:rPr>
        <w:t>p2 IIF</w:t>
      </w:r>
      <w:r>
        <w:rPr>
          <w:lang w:val="en-CA"/>
        </w:rPr>
        <w:t>: reporting of results</w:t>
      </w:r>
    </w:p>
    <w:p w:rsidR="003D11BA" w:rsidRDefault="003D11BA" w:rsidP="00212E31">
      <w:pPr>
        <w:pStyle w:val="ListParagraph"/>
        <w:numPr>
          <w:ilvl w:val="0"/>
          <w:numId w:val="13"/>
        </w:numPr>
        <w:spacing w:after="0" w:line="240" w:lineRule="auto"/>
        <w:rPr>
          <w:lang w:val="en-CA"/>
        </w:rPr>
      </w:pPr>
      <w:r w:rsidRPr="003A3EF8">
        <w:rPr>
          <w:lang w:val="en-CA"/>
        </w:rPr>
        <w:t>Establishing reference ranges</w:t>
      </w:r>
      <w:r>
        <w:rPr>
          <w:lang w:val="en-CA"/>
        </w:rPr>
        <w:t xml:space="preserve"> and importance of ANA titer</w:t>
      </w:r>
    </w:p>
    <w:p w:rsidR="003D11BA" w:rsidRPr="002E5E37" w:rsidRDefault="003D11BA" w:rsidP="00212E31">
      <w:pPr>
        <w:pStyle w:val="ListParagraph"/>
        <w:numPr>
          <w:ilvl w:val="0"/>
          <w:numId w:val="11"/>
        </w:numPr>
        <w:spacing w:after="0" w:line="240" w:lineRule="auto"/>
        <w:rPr>
          <w:lang w:val="en-CA"/>
        </w:rPr>
      </w:pPr>
      <w:r w:rsidRPr="00F029D4">
        <w:rPr>
          <w:lang w:val="en-CA"/>
        </w:rPr>
        <w:t>ANA titers in Pediatric</w:t>
      </w:r>
      <w:r w:rsidRPr="00927967">
        <w:rPr>
          <w:lang w:val="en-CA"/>
        </w:rPr>
        <w:t xml:space="preserve"> systemic rheumatic diseases</w:t>
      </w:r>
    </w:p>
    <w:p w:rsidR="003D11BA" w:rsidRPr="009D1D8B" w:rsidRDefault="003D11BA" w:rsidP="00212E31">
      <w:pPr>
        <w:pStyle w:val="ListParagraph"/>
        <w:numPr>
          <w:ilvl w:val="0"/>
          <w:numId w:val="12"/>
        </w:numPr>
        <w:spacing w:after="0" w:line="240" w:lineRule="auto"/>
        <w:rPr>
          <w:lang w:val="en-CA"/>
        </w:rPr>
      </w:pPr>
      <w:r w:rsidRPr="009D1D8B">
        <w:rPr>
          <w:lang w:val="en-CA"/>
        </w:rPr>
        <w:t>Pattern</w:t>
      </w:r>
    </w:p>
    <w:p w:rsidR="003D11BA" w:rsidRDefault="003D11BA" w:rsidP="00212E31">
      <w:pPr>
        <w:spacing w:after="0" w:line="240" w:lineRule="auto"/>
        <w:rPr>
          <w:lang w:val="en-CA"/>
        </w:rPr>
      </w:pPr>
      <w:r>
        <w:rPr>
          <w:lang w:val="en-CA"/>
        </w:rPr>
        <w:t>ANA by HEp2 IIF: methodology</w:t>
      </w:r>
    </w:p>
    <w:p w:rsidR="003D11BA" w:rsidRPr="00302787" w:rsidRDefault="003D11BA" w:rsidP="00212E31">
      <w:pPr>
        <w:pStyle w:val="ListParagraph"/>
        <w:numPr>
          <w:ilvl w:val="0"/>
          <w:numId w:val="21"/>
        </w:numPr>
        <w:spacing w:after="0" w:line="240" w:lineRule="auto"/>
        <w:rPr>
          <w:lang w:val="en-CA"/>
        </w:rPr>
      </w:pPr>
      <w:r w:rsidRPr="00302787">
        <w:rPr>
          <w:lang w:val="en-CA"/>
        </w:rPr>
        <w:t>Substrate: HEp-2 versus HEp-2000</w:t>
      </w:r>
    </w:p>
    <w:p w:rsidR="003D11BA" w:rsidRPr="00302787" w:rsidRDefault="003D11BA" w:rsidP="00212E31">
      <w:pPr>
        <w:pStyle w:val="ListParagraph"/>
        <w:numPr>
          <w:ilvl w:val="0"/>
          <w:numId w:val="21"/>
        </w:numPr>
        <w:spacing w:after="0" w:line="240" w:lineRule="auto"/>
        <w:rPr>
          <w:lang w:val="en-CA"/>
        </w:rPr>
      </w:pPr>
      <w:r w:rsidRPr="00302787">
        <w:rPr>
          <w:lang w:val="en-CA"/>
        </w:rPr>
        <w:t>Conjugate</w:t>
      </w:r>
    </w:p>
    <w:p w:rsidR="003D11BA" w:rsidRPr="00302787" w:rsidRDefault="003D11BA" w:rsidP="00212E31">
      <w:pPr>
        <w:pStyle w:val="ListParagraph"/>
        <w:numPr>
          <w:ilvl w:val="0"/>
          <w:numId w:val="21"/>
        </w:numPr>
        <w:spacing w:after="0" w:line="240" w:lineRule="auto"/>
        <w:rPr>
          <w:lang w:val="en-CA"/>
        </w:rPr>
      </w:pPr>
      <w:r w:rsidRPr="00302787">
        <w:rPr>
          <w:lang w:val="en-CA"/>
        </w:rPr>
        <w:t>Automated microscopy</w:t>
      </w:r>
    </w:p>
    <w:p w:rsidR="003D11BA" w:rsidRPr="00F77A0A" w:rsidRDefault="003D11BA" w:rsidP="00212E31">
      <w:pPr>
        <w:pStyle w:val="ListParagraph"/>
        <w:numPr>
          <w:ilvl w:val="1"/>
          <w:numId w:val="24"/>
        </w:numPr>
        <w:rPr>
          <w:lang w:val="en-CA"/>
        </w:rPr>
      </w:pPr>
      <w:r w:rsidRPr="00F77A0A">
        <w:rPr>
          <w:lang w:val="en-CA"/>
        </w:rPr>
        <w:t>Alternative for manual microscopy: positive/negative discrimination and pattern recognition</w:t>
      </w:r>
    </w:p>
    <w:p w:rsidR="003D11BA" w:rsidRPr="00302787" w:rsidRDefault="003D11BA" w:rsidP="00212E31">
      <w:pPr>
        <w:pStyle w:val="ListParagraph"/>
        <w:numPr>
          <w:ilvl w:val="1"/>
          <w:numId w:val="24"/>
        </w:numPr>
        <w:spacing w:after="0" w:line="240" w:lineRule="auto"/>
        <w:rPr>
          <w:lang w:val="en-CA"/>
        </w:rPr>
      </w:pPr>
      <w:r w:rsidRPr="00302787">
        <w:rPr>
          <w:lang w:val="en-CA"/>
        </w:rPr>
        <w:t>End point titer versus single well titer</w:t>
      </w:r>
    </w:p>
    <w:p w:rsidR="003D11BA" w:rsidRPr="00302787" w:rsidRDefault="003D11BA" w:rsidP="00212E31">
      <w:pPr>
        <w:pStyle w:val="ListParagraph"/>
        <w:numPr>
          <w:ilvl w:val="1"/>
          <w:numId w:val="24"/>
        </w:numPr>
        <w:spacing w:after="0" w:line="240" w:lineRule="auto"/>
        <w:rPr>
          <w:lang w:val="en-CA"/>
        </w:rPr>
      </w:pPr>
      <w:r w:rsidRPr="00302787">
        <w:rPr>
          <w:lang w:val="en-CA"/>
        </w:rPr>
        <w:t>Added value of CAD in quality assurance</w:t>
      </w:r>
    </w:p>
    <w:p w:rsidR="003D11BA" w:rsidRDefault="003D11BA" w:rsidP="00212E31">
      <w:pPr>
        <w:spacing w:after="0" w:line="240" w:lineRule="auto"/>
        <w:rPr>
          <w:lang w:val="en-CA"/>
        </w:rPr>
      </w:pPr>
      <w:r>
        <w:rPr>
          <w:lang w:val="en-CA"/>
        </w:rPr>
        <w:t>Quality assurance approaches in HEp-2 IIF</w:t>
      </w:r>
    </w:p>
    <w:p w:rsidR="003D11BA" w:rsidRPr="00302787" w:rsidRDefault="003D11BA" w:rsidP="00212E31">
      <w:pPr>
        <w:pStyle w:val="ListParagraph"/>
        <w:numPr>
          <w:ilvl w:val="0"/>
          <w:numId w:val="22"/>
        </w:numPr>
        <w:spacing w:after="0" w:line="240" w:lineRule="auto"/>
        <w:rPr>
          <w:lang w:val="en-CA"/>
        </w:rPr>
      </w:pPr>
      <w:r w:rsidRPr="00302787">
        <w:rPr>
          <w:lang w:val="en-CA"/>
        </w:rPr>
        <w:t xml:space="preserve">Internal quality control </w:t>
      </w:r>
    </w:p>
    <w:p w:rsidR="003D11BA" w:rsidRDefault="003D11BA" w:rsidP="00212E31">
      <w:pPr>
        <w:pStyle w:val="ListParagraph"/>
        <w:numPr>
          <w:ilvl w:val="1"/>
          <w:numId w:val="23"/>
        </w:numPr>
        <w:spacing w:after="0" w:line="240" w:lineRule="auto"/>
        <w:rPr>
          <w:lang w:val="en-CA"/>
        </w:rPr>
      </w:pPr>
      <w:r w:rsidRPr="00F77A0A">
        <w:rPr>
          <w:lang w:val="en-CA"/>
        </w:rPr>
        <w:t>Minimal number of IQC samples and titer</w:t>
      </w:r>
    </w:p>
    <w:p w:rsidR="003D11BA" w:rsidRPr="00302787" w:rsidRDefault="003D11BA" w:rsidP="00212E31">
      <w:pPr>
        <w:pStyle w:val="ListParagraph"/>
        <w:numPr>
          <w:ilvl w:val="1"/>
          <w:numId w:val="23"/>
        </w:numPr>
        <w:spacing w:after="0" w:line="240" w:lineRule="auto"/>
        <w:rPr>
          <w:lang w:val="en-CA"/>
        </w:rPr>
      </w:pPr>
      <w:r w:rsidRPr="00302787">
        <w:rPr>
          <w:lang w:val="en-CA"/>
        </w:rPr>
        <w:t>Origin of internal quality control samples</w:t>
      </w:r>
    </w:p>
    <w:p w:rsidR="003D11BA" w:rsidRDefault="003D11BA" w:rsidP="00212E31">
      <w:pPr>
        <w:pStyle w:val="ListParagraph"/>
        <w:numPr>
          <w:ilvl w:val="1"/>
          <w:numId w:val="23"/>
        </w:numPr>
        <w:spacing w:after="0" w:line="240" w:lineRule="auto"/>
        <w:rPr>
          <w:lang w:val="en-CA"/>
        </w:rPr>
      </w:pPr>
      <w:r w:rsidRPr="00302787">
        <w:rPr>
          <w:lang w:val="en-CA"/>
        </w:rPr>
        <w:t>Patterns / specificity of the internal quality control samples</w:t>
      </w:r>
    </w:p>
    <w:p w:rsidR="003D11BA" w:rsidRPr="00302787" w:rsidRDefault="003D11BA" w:rsidP="00212E31">
      <w:pPr>
        <w:pStyle w:val="ListParagraph"/>
        <w:numPr>
          <w:ilvl w:val="1"/>
          <w:numId w:val="23"/>
        </w:numPr>
        <w:spacing w:after="0" w:line="240" w:lineRule="auto"/>
        <w:rPr>
          <w:lang w:val="en-CA"/>
        </w:rPr>
      </w:pPr>
      <w:r w:rsidRPr="00F77A0A">
        <w:rPr>
          <w:lang w:val="en-CA"/>
        </w:rPr>
        <w:t>Methodology of monitoring, registration and judging the IQC results.</w:t>
      </w:r>
    </w:p>
    <w:p w:rsidR="003D11BA" w:rsidRPr="00302787" w:rsidRDefault="003D11BA" w:rsidP="00212E31">
      <w:pPr>
        <w:pStyle w:val="ListParagraph"/>
        <w:numPr>
          <w:ilvl w:val="0"/>
          <w:numId w:val="22"/>
        </w:numPr>
        <w:spacing w:after="0" w:line="240" w:lineRule="auto"/>
        <w:rPr>
          <w:lang w:val="en-CA"/>
        </w:rPr>
      </w:pPr>
      <w:r w:rsidRPr="00302787">
        <w:rPr>
          <w:lang w:val="en-CA"/>
        </w:rPr>
        <w:t>Training and controlling inter-observer variability</w:t>
      </w:r>
    </w:p>
    <w:p w:rsidR="003D11BA" w:rsidRPr="00302787" w:rsidRDefault="003D11BA" w:rsidP="00212E31">
      <w:pPr>
        <w:pStyle w:val="ListParagraph"/>
        <w:numPr>
          <w:ilvl w:val="0"/>
          <w:numId w:val="22"/>
        </w:numPr>
        <w:spacing w:after="0" w:line="240" w:lineRule="auto"/>
        <w:rPr>
          <w:lang w:val="en-CA"/>
        </w:rPr>
      </w:pPr>
      <w:r w:rsidRPr="00302787">
        <w:rPr>
          <w:lang w:val="en-CA"/>
        </w:rPr>
        <w:t>External quality assessment</w:t>
      </w:r>
    </w:p>
    <w:p w:rsidR="003D11BA" w:rsidRPr="00302787" w:rsidRDefault="003D11BA" w:rsidP="00212E31">
      <w:pPr>
        <w:pStyle w:val="ListParagraph"/>
        <w:numPr>
          <w:ilvl w:val="0"/>
          <w:numId w:val="22"/>
        </w:numPr>
        <w:spacing w:after="0" w:line="240" w:lineRule="auto"/>
        <w:rPr>
          <w:lang w:val="en-CA"/>
        </w:rPr>
      </w:pPr>
      <w:r w:rsidRPr="00302787">
        <w:rPr>
          <w:lang w:val="en-CA"/>
        </w:rPr>
        <w:t>QC approaches based on patient results</w:t>
      </w:r>
    </w:p>
    <w:p w:rsidR="003D11BA" w:rsidRPr="00302787" w:rsidRDefault="003D11BA" w:rsidP="00212E31">
      <w:pPr>
        <w:pStyle w:val="ListParagraph"/>
        <w:numPr>
          <w:ilvl w:val="0"/>
          <w:numId w:val="22"/>
        </w:numPr>
        <w:spacing w:after="0" w:line="240" w:lineRule="auto"/>
        <w:rPr>
          <w:lang w:val="en-CA"/>
        </w:rPr>
      </w:pPr>
      <w:r w:rsidRPr="00302787">
        <w:rPr>
          <w:lang w:val="en-CA"/>
        </w:rPr>
        <w:t>Reagent lot acceptance and monitoring of lot-to-lot variability</w:t>
      </w:r>
    </w:p>
    <w:p w:rsidR="003D11BA" w:rsidRDefault="003D11BA" w:rsidP="00212E31">
      <w:pPr>
        <w:spacing w:after="0" w:line="240" w:lineRule="auto"/>
        <w:rPr>
          <w:lang w:val="en-CA"/>
        </w:rPr>
      </w:pPr>
      <w:r>
        <w:rPr>
          <w:lang w:val="en-CA"/>
        </w:rPr>
        <w:t>Validation / verification</w:t>
      </w:r>
    </w:p>
    <w:p w:rsidR="003D11BA" w:rsidRDefault="003D11BA" w:rsidP="00212E31">
      <w:pPr>
        <w:pStyle w:val="ListParagraph"/>
        <w:numPr>
          <w:ilvl w:val="0"/>
          <w:numId w:val="19"/>
        </w:numPr>
        <w:spacing w:after="0" w:line="240" w:lineRule="auto"/>
        <w:rPr>
          <w:lang w:val="en-CA"/>
        </w:rPr>
      </w:pPr>
      <w:r w:rsidRPr="00E81606">
        <w:rPr>
          <w:lang w:val="en-CA"/>
        </w:rPr>
        <w:t xml:space="preserve">Analytical </w:t>
      </w:r>
      <w:r>
        <w:rPr>
          <w:lang w:val="en-CA"/>
        </w:rPr>
        <w:t>validation</w:t>
      </w:r>
      <w:r w:rsidRPr="00E81606">
        <w:rPr>
          <w:lang w:val="en-CA"/>
        </w:rPr>
        <w:t xml:space="preserve"> and v</w:t>
      </w:r>
      <w:r>
        <w:rPr>
          <w:lang w:val="en-CA"/>
        </w:rPr>
        <w:t>erification</w:t>
      </w:r>
    </w:p>
    <w:p w:rsidR="003D11BA" w:rsidRPr="00CD3FEB" w:rsidRDefault="003D11BA" w:rsidP="00212E31">
      <w:pPr>
        <w:pStyle w:val="ListParagraph"/>
        <w:numPr>
          <w:ilvl w:val="1"/>
          <w:numId w:val="19"/>
        </w:numPr>
        <w:spacing w:line="240" w:lineRule="auto"/>
        <w:jc w:val="both"/>
        <w:rPr>
          <w:i/>
          <w:lang w:val="en-US"/>
        </w:rPr>
      </w:pPr>
      <w:r w:rsidRPr="00CD3FEB">
        <w:rPr>
          <w:i/>
          <w:lang w:val="en-US"/>
        </w:rPr>
        <w:t xml:space="preserve">Verification of a new HEp-2 IIF method </w:t>
      </w:r>
    </w:p>
    <w:p w:rsidR="003D11BA" w:rsidRDefault="003D11BA" w:rsidP="00212E31">
      <w:pPr>
        <w:pStyle w:val="ListParagraph"/>
        <w:numPr>
          <w:ilvl w:val="2"/>
          <w:numId w:val="19"/>
        </w:numPr>
        <w:spacing w:after="0" w:line="240" w:lineRule="auto"/>
        <w:rPr>
          <w:lang w:val="en-CA"/>
        </w:rPr>
      </w:pPr>
      <w:r>
        <w:rPr>
          <w:lang w:val="en-CA"/>
        </w:rPr>
        <w:t>Verification of trueness (by method comparison)</w:t>
      </w:r>
    </w:p>
    <w:p w:rsidR="003D11BA" w:rsidRDefault="003D11BA" w:rsidP="00212E31">
      <w:pPr>
        <w:pStyle w:val="ListParagraph"/>
        <w:numPr>
          <w:ilvl w:val="2"/>
          <w:numId w:val="20"/>
        </w:numPr>
        <w:spacing w:after="0" w:line="240" w:lineRule="auto"/>
        <w:rPr>
          <w:lang w:val="en-CA"/>
        </w:rPr>
      </w:pPr>
      <w:r>
        <w:rPr>
          <w:lang w:val="en-CA"/>
        </w:rPr>
        <w:t>Verification of precision</w:t>
      </w:r>
    </w:p>
    <w:p w:rsidR="003D11BA" w:rsidRDefault="003D11BA" w:rsidP="00212E31">
      <w:pPr>
        <w:pStyle w:val="ListParagraph"/>
        <w:numPr>
          <w:ilvl w:val="2"/>
          <w:numId w:val="20"/>
        </w:numPr>
        <w:spacing w:after="0" w:line="240" w:lineRule="auto"/>
        <w:rPr>
          <w:lang w:val="en-CA"/>
        </w:rPr>
      </w:pPr>
      <w:r>
        <w:rPr>
          <w:lang w:val="en-CA"/>
        </w:rPr>
        <w:t>Verification / validation of end point titer estimation by CAD</w:t>
      </w:r>
    </w:p>
    <w:p w:rsidR="003D11BA" w:rsidRDefault="003D11BA" w:rsidP="00212E31">
      <w:pPr>
        <w:pStyle w:val="ListParagraph"/>
        <w:numPr>
          <w:ilvl w:val="2"/>
          <w:numId w:val="20"/>
        </w:numPr>
        <w:spacing w:after="0" w:line="240" w:lineRule="auto"/>
        <w:rPr>
          <w:lang w:val="en-CA"/>
        </w:rPr>
      </w:pPr>
      <w:r>
        <w:rPr>
          <w:lang w:val="en-CA"/>
        </w:rPr>
        <w:t>Verification of pipetting device</w:t>
      </w:r>
    </w:p>
    <w:p w:rsidR="003D11BA" w:rsidRPr="00E81606" w:rsidRDefault="003D11BA" w:rsidP="00212E31">
      <w:pPr>
        <w:pStyle w:val="ListParagraph"/>
        <w:numPr>
          <w:ilvl w:val="2"/>
          <w:numId w:val="20"/>
        </w:numPr>
        <w:spacing w:after="0" w:line="240" w:lineRule="auto"/>
        <w:rPr>
          <w:lang w:val="en-CA"/>
        </w:rPr>
      </w:pPr>
      <w:r>
        <w:rPr>
          <w:lang w:val="en-CA"/>
        </w:rPr>
        <w:t>Verification of linearity, measuring range, prozoning, interferences, conjugate titration</w:t>
      </w:r>
    </w:p>
    <w:p w:rsidR="003D11BA" w:rsidRDefault="003D11BA" w:rsidP="00212E31">
      <w:pPr>
        <w:pStyle w:val="ListParagraph"/>
        <w:numPr>
          <w:ilvl w:val="0"/>
          <w:numId w:val="19"/>
        </w:numPr>
        <w:spacing w:after="0" w:line="240" w:lineRule="auto"/>
        <w:rPr>
          <w:lang w:val="en-CA"/>
        </w:rPr>
      </w:pPr>
      <w:r w:rsidRPr="00E81606">
        <w:rPr>
          <w:lang w:val="en-CA"/>
        </w:rPr>
        <w:t>Clinical validation / verification of reference values</w:t>
      </w:r>
    </w:p>
    <w:p w:rsidR="003D11BA" w:rsidRDefault="003D11BA" w:rsidP="00212E31">
      <w:pPr>
        <w:pStyle w:val="ListParagraph"/>
        <w:numPr>
          <w:ilvl w:val="1"/>
          <w:numId w:val="19"/>
        </w:numPr>
        <w:spacing w:after="0" w:line="240" w:lineRule="auto"/>
        <w:rPr>
          <w:lang w:val="en-CA"/>
        </w:rPr>
      </w:pPr>
      <w:r w:rsidRPr="00E81606">
        <w:rPr>
          <w:lang w:val="en-CA"/>
        </w:rPr>
        <w:t>Clinical validation of a new Hep-2 IIF method</w:t>
      </w:r>
    </w:p>
    <w:p w:rsidR="003D11BA" w:rsidRDefault="003D11BA" w:rsidP="00212E31">
      <w:pPr>
        <w:spacing w:after="0" w:line="240" w:lineRule="auto"/>
        <w:rPr>
          <w:lang w:val="en-CA"/>
        </w:rPr>
      </w:pPr>
      <w:r w:rsidRPr="000A1B6D">
        <w:rPr>
          <w:lang w:val="en-CA"/>
        </w:rPr>
        <w:t>ANA and IVDR</w:t>
      </w:r>
    </w:p>
    <w:p w:rsidR="003D11BA" w:rsidRPr="000A1B6D" w:rsidRDefault="003D11BA" w:rsidP="00212E31">
      <w:pPr>
        <w:spacing w:after="0" w:line="240" w:lineRule="auto"/>
        <w:rPr>
          <w:lang w:val="en-CA"/>
        </w:rPr>
      </w:pPr>
      <w:r>
        <w:rPr>
          <w:lang w:val="en-CA"/>
        </w:rPr>
        <w:t>Recommendations / statements: Delphi scoring</w:t>
      </w:r>
    </w:p>
    <w:p w:rsidR="003D11BA" w:rsidRDefault="003D11BA" w:rsidP="00212E31">
      <w:pPr>
        <w:spacing w:after="0" w:line="240" w:lineRule="auto"/>
        <w:rPr>
          <w:lang w:val="en-CA"/>
        </w:rPr>
      </w:pPr>
    </w:p>
    <w:p w:rsidR="003D11BA" w:rsidRDefault="003D11BA" w:rsidP="00212E31">
      <w:pPr>
        <w:spacing w:after="0" w:line="240" w:lineRule="auto"/>
        <w:rPr>
          <w:lang w:val="en-CA"/>
        </w:rPr>
      </w:pPr>
    </w:p>
    <w:p w:rsidR="003D11BA" w:rsidRDefault="003D11BA" w:rsidP="00212E31">
      <w:pPr>
        <w:spacing w:after="0" w:line="240" w:lineRule="auto"/>
        <w:rPr>
          <w:lang w:val="en-CA"/>
        </w:rPr>
      </w:pPr>
    </w:p>
    <w:p w:rsidR="003D11BA" w:rsidRPr="001A4D37" w:rsidRDefault="003D11BA" w:rsidP="00212E31">
      <w:pPr>
        <w:spacing w:line="240" w:lineRule="auto"/>
        <w:rPr>
          <w:b/>
          <w:smallCaps/>
          <w:lang w:val="en-CA"/>
        </w:rPr>
      </w:pPr>
      <w:r w:rsidRPr="001A4D37">
        <w:rPr>
          <w:b/>
          <w:smallCaps/>
          <w:lang w:val="en-CA"/>
        </w:rPr>
        <w:lastRenderedPageBreak/>
        <w:t>I</w:t>
      </w:r>
      <w:r>
        <w:rPr>
          <w:b/>
          <w:smallCaps/>
          <w:lang w:val="en-CA"/>
        </w:rPr>
        <w:t>ntroduction</w:t>
      </w:r>
    </w:p>
    <w:p w:rsidR="003D11BA" w:rsidRDefault="003D11BA" w:rsidP="00212E31">
      <w:pPr>
        <w:spacing w:after="0" w:line="240" w:lineRule="auto"/>
        <w:jc w:val="both"/>
        <w:rPr>
          <w:lang w:val="en-CA"/>
        </w:rPr>
      </w:pPr>
      <w:r>
        <w:rPr>
          <w:lang w:val="en-CA"/>
        </w:rPr>
        <w:t>Since its first description in 1957, anti-nuclear antibodies</w:t>
      </w:r>
      <w:r w:rsidRPr="004871AB">
        <w:rPr>
          <w:lang w:val="en-CA"/>
        </w:rPr>
        <w:t xml:space="preserve"> (ANA)</w:t>
      </w:r>
      <w:r>
        <w:rPr>
          <w:lang w:val="en-CA"/>
        </w:rPr>
        <w:t xml:space="preserve"> </w:t>
      </w:r>
      <w:r w:rsidRPr="001A4D37">
        <w:rPr>
          <w:color w:val="000000" w:themeColor="text1"/>
          <w:lang w:val="en-CA"/>
        </w:rPr>
        <w:t xml:space="preserve">have been playing a central </w:t>
      </w:r>
      <w:r>
        <w:rPr>
          <w:lang w:val="en-CA"/>
        </w:rPr>
        <w:t>role in the</w:t>
      </w:r>
      <w:r w:rsidRPr="004871AB">
        <w:rPr>
          <w:lang w:val="en-CA"/>
        </w:rPr>
        <w:t xml:space="preserve"> </w:t>
      </w:r>
      <w:r>
        <w:rPr>
          <w:lang w:val="en-CA"/>
        </w:rPr>
        <w:t>diagnostic work-up</w:t>
      </w:r>
      <w:r w:rsidRPr="004871AB">
        <w:rPr>
          <w:lang w:val="en-CA"/>
        </w:rPr>
        <w:t xml:space="preserve"> of </w:t>
      </w:r>
      <w:r>
        <w:rPr>
          <w:lang w:val="en-CA"/>
        </w:rPr>
        <w:t xml:space="preserve">several systemic </w:t>
      </w:r>
      <w:r w:rsidRPr="004871AB">
        <w:rPr>
          <w:lang w:val="en-CA"/>
        </w:rPr>
        <w:t xml:space="preserve">autoimmune </w:t>
      </w:r>
      <w:r>
        <w:rPr>
          <w:lang w:val="en-CA"/>
        </w:rPr>
        <w:t xml:space="preserve">rheumatic </w:t>
      </w:r>
      <w:r w:rsidRPr="004871AB">
        <w:rPr>
          <w:lang w:val="en-CA"/>
        </w:rPr>
        <w:t>diseases</w:t>
      </w:r>
      <w:r>
        <w:rPr>
          <w:lang w:val="en-CA"/>
        </w:rPr>
        <w:t xml:space="preserve">, the so-called ANA-associated rheumatic diseases </w:t>
      </w:r>
      <w:r w:rsidRPr="001A4D37">
        <w:rPr>
          <w:lang w:val="en-CA"/>
        </w:rPr>
        <w:t>(</w:t>
      </w:r>
      <w:r>
        <w:rPr>
          <w:lang w:val="en-CA"/>
        </w:rPr>
        <w:t xml:space="preserve">reviewed in </w:t>
      </w:r>
      <w:r>
        <w:rPr>
          <w:noProof/>
          <w:lang w:val="en-CA"/>
        </w:rPr>
        <w:t>(1)</w:t>
      </w:r>
      <w:r w:rsidRPr="001A4D37">
        <w:rPr>
          <w:lang w:val="en-CA"/>
        </w:rPr>
        <w:t>).</w:t>
      </w:r>
      <w:r>
        <w:rPr>
          <w:lang w:val="en-CA"/>
        </w:rPr>
        <w:t xml:space="preserve"> ANA are also important in the diagnosis of juvenile idiopathic arthritis </w:t>
      </w:r>
      <w:r>
        <w:rPr>
          <w:noProof/>
          <w:lang w:val="en-CA"/>
        </w:rPr>
        <w:t>(2)</w:t>
      </w:r>
      <w:r>
        <w:rPr>
          <w:lang w:val="en-CA"/>
        </w:rPr>
        <w:t xml:space="preserve">, autoimmune hepatitis </w:t>
      </w:r>
      <w:r>
        <w:rPr>
          <w:noProof/>
          <w:lang w:val="en-CA"/>
        </w:rPr>
        <w:t>(3)</w:t>
      </w:r>
      <w:r>
        <w:rPr>
          <w:lang w:val="en-CA"/>
        </w:rPr>
        <w:t xml:space="preserve"> and primary biliary cholangitis </w:t>
      </w:r>
      <w:r>
        <w:rPr>
          <w:noProof/>
          <w:lang w:val="en-CA"/>
        </w:rPr>
        <w:t>(4)</w:t>
      </w:r>
      <w:r>
        <w:rPr>
          <w:lang w:val="en-CA"/>
        </w:rPr>
        <w:t xml:space="preserve">. Traditionally, they have been detected by indirect immunofluorescence (IIF) using liver substrate or HEp-2 cells, the latter currently being most frequently used.  IIF is challenging to harmonize due to its subjectivity (visual microscope reading and pattern recognition/nomenclature) and the high number of technical variables impacting the results (e.g. serum screening dilution, substrate, conjugate) </w:t>
      </w:r>
      <w:r>
        <w:rPr>
          <w:noProof/>
          <w:lang w:val="en-CA"/>
        </w:rPr>
        <w:t>(5)</w:t>
      </w:r>
      <w:r>
        <w:rPr>
          <w:lang w:val="en-CA"/>
        </w:rPr>
        <w:t xml:space="preserve">. </w:t>
      </w:r>
    </w:p>
    <w:p w:rsidR="003D11BA" w:rsidRDefault="003D11BA" w:rsidP="00212E31">
      <w:pPr>
        <w:spacing w:after="0" w:line="240" w:lineRule="auto"/>
        <w:jc w:val="both"/>
        <w:rPr>
          <w:lang w:val="en-CA"/>
        </w:rPr>
      </w:pPr>
      <w:r>
        <w:rPr>
          <w:lang w:val="en-CA"/>
        </w:rPr>
        <w:t xml:space="preserve">Today, we have evolved towards a situation in which the classical IIF analysis of ANA is supplemented with automated approaches such as automated slide processors, solid phase assays and computer-aided diagnosis (CAD) IIF systems. All these new approaches represent important evolutions within the ANA field, which come with new opportunities, especially in the context of quality assurance.  </w:t>
      </w:r>
    </w:p>
    <w:p w:rsidR="003D11BA" w:rsidRDefault="003D11BA" w:rsidP="00212E31">
      <w:pPr>
        <w:spacing w:after="0" w:line="240" w:lineRule="auto"/>
        <w:jc w:val="both"/>
        <w:rPr>
          <w:lang w:val="en-CA"/>
        </w:rPr>
      </w:pPr>
    </w:p>
    <w:p w:rsidR="003D11BA" w:rsidRDefault="003D11BA" w:rsidP="00212E31">
      <w:pPr>
        <w:spacing w:after="0" w:line="240" w:lineRule="auto"/>
        <w:jc w:val="both"/>
        <w:rPr>
          <w:lang w:val="en-CA"/>
        </w:rPr>
      </w:pPr>
      <w:r>
        <w:rPr>
          <w:lang w:val="en-CA"/>
        </w:rPr>
        <w:t xml:space="preserve">For this manuscript we reviewed current publications and guidelines in the field of ANA testing with a focus on areas including preferred methodology (IIF versus solid phase), optimal screening dilution and titre reporting, pattern reporting, substrate and conjugate selection, use of CAD platforms, quality assurance approaches and validation/verification. Based on this literature review, a set of </w:t>
      </w:r>
      <w:r w:rsidRPr="00132C03">
        <w:rPr>
          <w:lang w:val="en-CA"/>
        </w:rPr>
        <w:t>recommendations</w:t>
      </w:r>
      <w:r>
        <w:rPr>
          <w:lang w:val="en-CA"/>
        </w:rPr>
        <w:t xml:space="preserve"> on these topics was formulated and subjected to expert review and a  Delphi exercise</w:t>
      </w:r>
      <w:r w:rsidRPr="008E5EEB">
        <w:rPr>
          <w:lang w:val="en-CA"/>
        </w:rPr>
        <w:t xml:space="preserve"> </w:t>
      </w:r>
      <w:r>
        <w:rPr>
          <w:lang w:val="en-CA"/>
        </w:rPr>
        <w:t xml:space="preserve">for further fine-tuning and international support. </w:t>
      </w:r>
    </w:p>
    <w:p w:rsidR="003D11BA" w:rsidRDefault="003D11BA" w:rsidP="00212E31">
      <w:pPr>
        <w:spacing w:after="0" w:line="240" w:lineRule="auto"/>
        <w:jc w:val="both"/>
        <w:rPr>
          <w:lang w:val="en-CA"/>
        </w:rPr>
      </w:pPr>
    </w:p>
    <w:p w:rsidR="003D11BA" w:rsidRPr="0075575B" w:rsidRDefault="003D11BA" w:rsidP="00212E31">
      <w:pPr>
        <w:spacing w:after="0" w:line="240" w:lineRule="auto"/>
        <w:rPr>
          <w:lang w:val="en-CA"/>
        </w:rPr>
      </w:pPr>
    </w:p>
    <w:p w:rsidR="003D11BA" w:rsidRPr="000478F4" w:rsidRDefault="003D11BA" w:rsidP="00212E31">
      <w:pPr>
        <w:spacing w:line="240" w:lineRule="auto"/>
        <w:rPr>
          <w:b/>
          <w:smallCaps/>
          <w:color w:val="000000" w:themeColor="text1"/>
          <w:lang w:val="en-CA"/>
        </w:rPr>
      </w:pPr>
      <w:r w:rsidRPr="000478F4">
        <w:rPr>
          <w:b/>
          <w:smallCaps/>
          <w:color w:val="000000" w:themeColor="text1"/>
          <w:lang w:val="en-CA"/>
        </w:rPr>
        <w:t>Methods</w:t>
      </w:r>
    </w:p>
    <w:p w:rsidR="003D11BA" w:rsidRDefault="003D11BA" w:rsidP="00212E31">
      <w:pPr>
        <w:spacing w:line="240" w:lineRule="auto"/>
        <w:rPr>
          <w:b/>
          <w:color w:val="000000" w:themeColor="text1"/>
          <w:lang w:val="en-CA"/>
        </w:rPr>
      </w:pPr>
      <w:r>
        <w:rPr>
          <w:b/>
          <w:color w:val="000000" w:themeColor="text1"/>
          <w:lang w:val="en-CA"/>
        </w:rPr>
        <w:t>Literature review and expert committees</w:t>
      </w:r>
    </w:p>
    <w:p w:rsidR="003D11BA" w:rsidRPr="00696F58" w:rsidRDefault="003D11BA" w:rsidP="00212E31">
      <w:pPr>
        <w:spacing w:line="240" w:lineRule="auto"/>
        <w:jc w:val="both"/>
        <w:rPr>
          <w:color w:val="000000" w:themeColor="text1"/>
          <w:lang w:val="en-US"/>
        </w:rPr>
      </w:pPr>
      <w:r w:rsidRPr="003D5081">
        <w:rPr>
          <w:lang w:val="en-CA"/>
        </w:rPr>
        <w:t>A literature review was performed by XB, CB and MV.</w:t>
      </w:r>
      <w:r>
        <w:rPr>
          <w:lang w:val="en-CA"/>
        </w:rPr>
        <w:t xml:space="preserve"> Searches were done in Pubmed and through </w:t>
      </w:r>
      <w:r w:rsidRPr="00BC7F5A">
        <w:rPr>
          <w:lang w:val="en-CA"/>
        </w:rPr>
        <w:t>limo libis KU</w:t>
      </w:r>
      <w:r>
        <w:rPr>
          <w:lang w:val="en-CA"/>
        </w:rPr>
        <w:t xml:space="preserve"> </w:t>
      </w:r>
      <w:r w:rsidRPr="00BC7F5A">
        <w:rPr>
          <w:lang w:val="en-CA"/>
        </w:rPr>
        <w:t>L</w:t>
      </w:r>
      <w:r>
        <w:rPr>
          <w:lang w:val="en-CA"/>
        </w:rPr>
        <w:t xml:space="preserve">euven. References in the papers were checked and retrieved if relevant. </w:t>
      </w:r>
      <w:r w:rsidRPr="00696F58">
        <w:rPr>
          <w:color w:val="000000" w:themeColor="text1"/>
          <w:lang w:val="en-US"/>
        </w:rPr>
        <w:t>Additional sources included publications from “Clinical and Laboratory Standards Institute” (CLSI), College of American Pathologists (CAP), ISO 15189, ISO 17025, Bureau international des poids et mesures (</w:t>
      </w:r>
      <w:hyperlink r:id="rId7" w:history="1">
        <w:r w:rsidRPr="005174F5">
          <w:rPr>
            <w:rStyle w:val="Hyperlink"/>
            <w:lang w:val="en-US"/>
          </w:rPr>
          <w:t>https://www.bipm.org</w:t>
        </w:r>
      </w:hyperlink>
      <w:r w:rsidRPr="00696F58">
        <w:rPr>
          <w:color w:val="000000" w:themeColor="text1"/>
          <w:lang w:val="en-US"/>
        </w:rPr>
        <w:t>)</w:t>
      </w:r>
      <w:r>
        <w:rPr>
          <w:color w:val="000000" w:themeColor="text1"/>
          <w:lang w:val="en-US"/>
        </w:rPr>
        <w:t xml:space="preserve">, the world health organization (WHO), </w:t>
      </w:r>
      <w:r w:rsidRPr="00696F58">
        <w:rPr>
          <w:color w:val="000000" w:themeColor="text1"/>
          <w:lang w:val="en-US"/>
        </w:rPr>
        <w:t xml:space="preserve">and the In-Vitro Diagnostic Medical Devices Regulation (EU) 2017/746 (IVDR).  Finally, national guidelines from France (COFRAC - Comité français d'accréditation), The Netherlands (Normen en richtlijnen | NVKC) and Belgium were consulted.   </w:t>
      </w:r>
    </w:p>
    <w:p w:rsidR="003D11BA" w:rsidRDefault="003D11BA" w:rsidP="00212E31">
      <w:pPr>
        <w:spacing w:line="240" w:lineRule="auto"/>
        <w:jc w:val="both"/>
        <w:rPr>
          <w:color w:val="808080" w:themeColor="background1" w:themeShade="80"/>
          <w:lang w:val="en-CA"/>
        </w:rPr>
      </w:pPr>
      <w:r w:rsidRPr="008047C9">
        <w:rPr>
          <w:lang w:val="en-CA"/>
        </w:rPr>
        <w:t>T</w:t>
      </w:r>
      <w:r>
        <w:rPr>
          <w:lang w:val="en-CA"/>
        </w:rPr>
        <w:t>hree</w:t>
      </w:r>
      <w:r w:rsidRPr="008047C9">
        <w:rPr>
          <w:lang w:val="en-CA"/>
        </w:rPr>
        <w:t xml:space="preserve"> groups of experts participated in this initiative</w:t>
      </w:r>
      <w:r>
        <w:rPr>
          <w:lang w:val="en-CA"/>
        </w:rPr>
        <w:t xml:space="preserve">: (i) </w:t>
      </w:r>
      <w:r w:rsidRPr="00197444">
        <w:rPr>
          <w:lang w:val="en-CA"/>
        </w:rPr>
        <w:t xml:space="preserve">the European Federation of </w:t>
      </w:r>
      <w:r>
        <w:rPr>
          <w:lang w:val="en-CA"/>
        </w:rPr>
        <w:t xml:space="preserve">Clinical Chemistry and </w:t>
      </w:r>
      <w:r w:rsidRPr="00197444">
        <w:rPr>
          <w:lang w:val="en-CA"/>
        </w:rPr>
        <w:t xml:space="preserve">Laboratory Medicine (EFLM) </w:t>
      </w:r>
      <w:r w:rsidR="00CA415F">
        <w:rPr>
          <w:lang w:val="en-CA"/>
        </w:rPr>
        <w:t xml:space="preserve">Working </w:t>
      </w:r>
      <w:r w:rsidRPr="00197444">
        <w:rPr>
          <w:lang w:val="en-CA"/>
        </w:rPr>
        <w:t>Group “Autoimmunity Testing,” (ii) the European Autoimmune Standardization Initiative (EASI)</w:t>
      </w:r>
      <w:r>
        <w:rPr>
          <w:lang w:val="en-CA"/>
        </w:rPr>
        <w:t xml:space="preserve"> and (iii) the International consensus on ANA patterns (ICAP).  </w:t>
      </w:r>
    </w:p>
    <w:p w:rsidR="003D11BA" w:rsidRDefault="003D11BA" w:rsidP="00212E31">
      <w:pPr>
        <w:spacing w:line="240" w:lineRule="auto"/>
        <w:jc w:val="both"/>
        <w:rPr>
          <w:lang w:val="en-CA"/>
        </w:rPr>
      </w:pPr>
      <w:r w:rsidRPr="008047C9">
        <w:rPr>
          <w:lang w:val="en-CA"/>
        </w:rPr>
        <w:t>In this study</w:t>
      </w:r>
      <w:r>
        <w:rPr>
          <w:lang w:val="en-CA"/>
        </w:rPr>
        <w:t>,</w:t>
      </w:r>
      <w:r w:rsidRPr="008047C9">
        <w:rPr>
          <w:lang w:val="en-CA"/>
        </w:rPr>
        <w:t xml:space="preserve"> expert</w:t>
      </w:r>
      <w:r>
        <w:rPr>
          <w:lang w:val="en-CA"/>
        </w:rPr>
        <w:t>s</w:t>
      </w:r>
      <w:r w:rsidRPr="008047C9">
        <w:rPr>
          <w:lang w:val="en-CA"/>
        </w:rPr>
        <w:t xml:space="preserve"> from </w:t>
      </w:r>
      <w:r w:rsidRPr="00F00578">
        <w:rPr>
          <w:highlight w:val="lightGray"/>
          <w:lang w:val="en-CA"/>
        </w:rPr>
        <w:t>X</w:t>
      </w:r>
      <w:r w:rsidRPr="008047C9">
        <w:rPr>
          <w:lang w:val="en-CA"/>
        </w:rPr>
        <w:t xml:space="preserve"> European countries, </w:t>
      </w:r>
      <w:r w:rsidRPr="00F00578">
        <w:rPr>
          <w:highlight w:val="lightGray"/>
          <w:lang w:val="en-CA"/>
        </w:rPr>
        <w:t>namely Italy, Germany, The Netherlands, France, UK, Sweden, Belgium, Finland, Norway, Switzerland, Austria, Spain, Ukraine, Portugal and Israel participated</w:t>
      </w:r>
      <w:r w:rsidRPr="008047C9">
        <w:rPr>
          <w:lang w:val="en-CA"/>
        </w:rPr>
        <w:t xml:space="preserve">. Each national EASI </w:t>
      </w:r>
      <w:r>
        <w:rPr>
          <w:lang w:val="en-CA"/>
        </w:rPr>
        <w:t xml:space="preserve">was asked to </w:t>
      </w:r>
      <w:r w:rsidRPr="00F00578">
        <w:rPr>
          <w:highlight w:val="lightGray"/>
          <w:lang w:val="en-CA"/>
        </w:rPr>
        <w:t xml:space="preserve">delegate </w:t>
      </w:r>
      <w:r>
        <w:rPr>
          <w:highlight w:val="lightGray"/>
          <w:lang w:val="en-CA"/>
        </w:rPr>
        <w:t>..</w:t>
      </w:r>
      <w:r w:rsidRPr="00F00578">
        <w:rPr>
          <w:highlight w:val="lightGray"/>
          <w:lang w:val="en-CA"/>
        </w:rPr>
        <w:t xml:space="preserve"> expert</w:t>
      </w:r>
      <w:r>
        <w:rPr>
          <w:lang w:val="en-CA"/>
        </w:rPr>
        <w:t xml:space="preserve"> members to perform the voting.</w:t>
      </w:r>
    </w:p>
    <w:p w:rsidR="003D11BA" w:rsidRPr="006328BC" w:rsidRDefault="003D11BA" w:rsidP="00212E31">
      <w:pPr>
        <w:spacing w:line="240" w:lineRule="auto"/>
        <w:rPr>
          <w:lang w:val="en-US"/>
        </w:rPr>
      </w:pPr>
      <w:r w:rsidRPr="006328BC">
        <w:rPr>
          <w:highlight w:val="lightGray"/>
          <w:lang w:val="en-US"/>
        </w:rPr>
        <w:t>ICAP ??</w:t>
      </w:r>
    </w:p>
    <w:p w:rsidR="003D11BA" w:rsidRDefault="003D11BA" w:rsidP="00212E31">
      <w:pPr>
        <w:spacing w:line="240" w:lineRule="auto"/>
        <w:rPr>
          <w:b/>
          <w:color w:val="000000" w:themeColor="text1"/>
          <w:lang w:val="en-CA"/>
        </w:rPr>
      </w:pPr>
      <w:r>
        <w:rPr>
          <w:b/>
          <w:color w:val="000000" w:themeColor="text1"/>
          <w:lang w:val="en-CA"/>
        </w:rPr>
        <w:t xml:space="preserve">Development of </w:t>
      </w:r>
      <w:r w:rsidRPr="0038707B">
        <w:rPr>
          <w:b/>
          <w:color w:val="000000" w:themeColor="text1"/>
          <w:lang w:val="en-CA"/>
        </w:rPr>
        <w:t>the recommendations/statements</w:t>
      </w:r>
    </w:p>
    <w:p w:rsidR="003D11BA" w:rsidRDefault="003D11BA" w:rsidP="00212E31">
      <w:pPr>
        <w:spacing w:line="240" w:lineRule="auto"/>
        <w:jc w:val="both"/>
        <w:rPr>
          <w:lang w:val="en-CA"/>
        </w:rPr>
      </w:pPr>
      <w:r>
        <w:rPr>
          <w:lang w:val="en-CA"/>
        </w:rPr>
        <w:t xml:space="preserve">A three-step process was applied for creating these recommendations on the detection of antinuclear antibodies. First, based on the literature review, a manuscript was prepared and </w:t>
      </w:r>
      <w:r w:rsidRPr="00F00578">
        <w:rPr>
          <w:highlight w:val="lightGray"/>
          <w:lang w:val="en-CA"/>
        </w:rPr>
        <w:t>X</w:t>
      </w:r>
      <w:r>
        <w:rPr>
          <w:lang w:val="en-CA"/>
        </w:rPr>
        <w:t xml:space="preserve"> preliminary recommendations/statements were formulated by the EFLM </w:t>
      </w:r>
      <w:r w:rsidR="00CA415F">
        <w:rPr>
          <w:lang w:val="en-CA"/>
        </w:rPr>
        <w:t xml:space="preserve">Working </w:t>
      </w:r>
      <w:r>
        <w:rPr>
          <w:lang w:val="en-CA"/>
        </w:rPr>
        <w:t xml:space="preserve">Group “Autoimmune Testing” and ratified by EFLM. The statements were </w:t>
      </w:r>
      <w:r w:rsidRPr="00F029D4">
        <w:rPr>
          <w:lang w:val="en-CA"/>
        </w:rPr>
        <w:t xml:space="preserve">graded as A [experimental data/literature source is available] or B [expert opinion].  Then </w:t>
      </w:r>
      <w:r>
        <w:rPr>
          <w:lang w:val="en-CA"/>
        </w:rPr>
        <w:t>[</w:t>
      </w:r>
      <w:r w:rsidRPr="00EA45DE">
        <w:rPr>
          <w:highlight w:val="yellow"/>
          <w:lang w:val="en-CA"/>
        </w:rPr>
        <w:t>to be done</w:t>
      </w:r>
      <w:r>
        <w:rPr>
          <w:lang w:val="en-CA"/>
        </w:rPr>
        <w:t xml:space="preserve">] </w:t>
      </w:r>
      <w:r w:rsidRPr="00F029D4">
        <w:rPr>
          <w:lang w:val="en-CA"/>
        </w:rPr>
        <w:t>the manuscript</w:t>
      </w:r>
      <w:r>
        <w:rPr>
          <w:lang w:val="en-CA"/>
        </w:rPr>
        <w:t xml:space="preserve"> and the statements were subjected to open comments/suggestions and grading </w:t>
      </w:r>
      <w:r w:rsidRPr="00416DC9">
        <w:rPr>
          <w:lang w:val="en-CA"/>
        </w:rPr>
        <w:t xml:space="preserve">by each </w:t>
      </w:r>
      <w:r>
        <w:rPr>
          <w:lang w:val="en-CA"/>
        </w:rPr>
        <w:t xml:space="preserve">national </w:t>
      </w:r>
      <w:r w:rsidRPr="00416DC9">
        <w:rPr>
          <w:lang w:val="en-CA"/>
        </w:rPr>
        <w:t xml:space="preserve">EASI team </w:t>
      </w:r>
      <w:r w:rsidRPr="00F029D4">
        <w:rPr>
          <w:lang w:val="en-CA"/>
        </w:rPr>
        <w:t>(EASI Europe)</w:t>
      </w:r>
      <w:r>
        <w:rPr>
          <w:lang w:val="en-CA"/>
        </w:rPr>
        <w:t xml:space="preserve"> and ICAP </w:t>
      </w:r>
      <w:r w:rsidRPr="00F029D4">
        <w:rPr>
          <w:lang w:val="en-CA"/>
        </w:rPr>
        <w:t xml:space="preserve">on a </w:t>
      </w:r>
      <w:r w:rsidRPr="00F029D4">
        <w:rPr>
          <w:lang w:val="en-CA"/>
        </w:rPr>
        <w:lastRenderedPageBreak/>
        <w:t>scale of 1–5 (ie, full agreement to no agreement, respectively). Finally, a Delphi exercise with closed voting followed. During this final round</w:t>
      </w:r>
      <w:r>
        <w:rPr>
          <w:lang w:val="en-CA"/>
        </w:rPr>
        <w:t>,</w:t>
      </w:r>
      <w:r w:rsidRPr="00F029D4">
        <w:rPr>
          <w:lang w:val="en-CA"/>
        </w:rPr>
        <w:t xml:space="preserve"> scoring on a scale 1-10 [0 - absolutely no a</w:t>
      </w:r>
      <w:r w:rsidRPr="000A0E1E">
        <w:rPr>
          <w:lang w:val="en-CA"/>
        </w:rPr>
        <w:t>greement with the recommendation</w:t>
      </w:r>
      <w:r>
        <w:rPr>
          <w:lang w:val="en-CA"/>
        </w:rPr>
        <w:t xml:space="preserve">; </w:t>
      </w:r>
      <w:r w:rsidRPr="000A0E1E">
        <w:rPr>
          <w:lang w:val="en-CA"/>
        </w:rPr>
        <w:t xml:space="preserve">10 </w:t>
      </w:r>
      <w:r>
        <w:rPr>
          <w:lang w:val="en-CA"/>
        </w:rPr>
        <w:t xml:space="preserve">- </w:t>
      </w:r>
      <w:r w:rsidRPr="000A0E1E">
        <w:rPr>
          <w:lang w:val="en-CA"/>
        </w:rPr>
        <w:t>maximal support for the recommendation</w:t>
      </w:r>
      <w:r>
        <w:rPr>
          <w:lang w:val="en-CA"/>
        </w:rPr>
        <w:t>]</w:t>
      </w:r>
      <w:r w:rsidRPr="000A0E1E">
        <w:rPr>
          <w:lang w:val="en-CA"/>
        </w:rPr>
        <w:t xml:space="preserve"> </w:t>
      </w:r>
      <w:r>
        <w:rPr>
          <w:lang w:val="en-CA"/>
        </w:rPr>
        <w:t xml:space="preserve">was performed by </w:t>
      </w:r>
      <w:r w:rsidRPr="00F00578">
        <w:rPr>
          <w:highlight w:val="lightGray"/>
          <w:lang w:val="en-CA"/>
        </w:rPr>
        <w:t>30-50</w:t>
      </w:r>
      <w:r>
        <w:rPr>
          <w:lang w:val="en-CA"/>
        </w:rPr>
        <w:t xml:space="preserve"> experts (consisting of a selection of </w:t>
      </w:r>
      <w:r w:rsidRPr="00F00578">
        <w:rPr>
          <w:highlight w:val="lightGray"/>
          <w:lang w:val="en-CA"/>
        </w:rPr>
        <w:t>X</w:t>
      </w:r>
      <w:r>
        <w:rPr>
          <w:lang w:val="en-CA"/>
        </w:rPr>
        <w:t xml:space="preserve"> EASI (</w:t>
      </w:r>
      <w:r w:rsidRPr="00F029D4">
        <w:rPr>
          <w:highlight w:val="lightGray"/>
          <w:lang w:val="en-CA"/>
        </w:rPr>
        <w:t>5</w:t>
      </w:r>
      <w:r>
        <w:rPr>
          <w:lang w:val="en-CA"/>
        </w:rPr>
        <w:t xml:space="preserve"> members/country) and </w:t>
      </w:r>
      <w:r w:rsidRPr="00F00578">
        <w:rPr>
          <w:highlight w:val="lightGray"/>
          <w:lang w:val="en-CA"/>
        </w:rPr>
        <w:t>X</w:t>
      </w:r>
      <w:r>
        <w:rPr>
          <w:lang w:val="en-CA"/>
        </w:rPr>
        <w:t xml:space="preserve"> ICAP members (</w:t>
      </w:r>
      <w:r w:rsidRPr="00F029D4">
        <w:rPr>
          <w:highlight w:val="lightGray"/>
          <w:lang w:val="en-CA"/>
        </w:rPr>
        <w:t>5</w:t>
      </w:r>
      <w:r>
        <w:rPr>
          <w:lang w:val="en-CA"/>
        </w:rPr>
        <w:t xml:space="preserve"> members/ geographical area). </w:t>
      </w:r>
      <w:r w:rsidRPr="000A0E1E">
        <w:rPr>
          <w:lang w:val="en-CA"/>
        </w:rPr>
        <w:t xml:space="preserve">The means and SD scores of all participants were calculated to determine the level of agreement for each recommendation. The highest agreement is defined by the highest mean score accompanied by the lowest </w:t>
      </w:r>
      <w:r>
        <w:rPr>
          <w:lang w:val="en-CA"/>
        </w:rPr>
        <w:t>standard deviation</w:t>
      </w:r>
      <w:r w:rsidRPr="000A0E1E">
        <w:rPr>
          <w:lang w:val="en-CA"/>
        </w:rPr>
        <w:t>.</w:t>
      </w:r>
      <w:r w:rsidRPr="000367AF">
        <w:rPr>
          <w:lang w:val="en-CA"/>
        </w:rPr>
        <w:t xml:space="preserve"> </w:t>
      </w:r>
      <w:r w:rsidRPr="00FA24C5">
        <w:rPr>
          <w:lang w:val="en-CA"/>
        </w:rPr>
        <w:t xml:space="preserve">Separate scores for the voting by the EASI groups versus the </w:t>
      </w:r>
      <w:r>
        <w:rPr>
          <w:lang w:val="en-CA"/>
        </w:rPr>
        <w:t>ICAP</w:t>
      </w:r>
      <w:r w:rsidRPr="00FA24C5">
        <w:rPr>
          <w:lang w:val="en-CA"/>
        </w:rPr>
        <w:t xml:space="preserve"> members were assessed using the t test (p&lt;0.03).</w:t>
      </w:r>
    </w:p>
    <w:p w:rsidR="003D11BA" w:rsidRDefault="003D11BA" w:rsidP="00212E31">
      <w:pPr>
        <w:spacing w:line="240" w:lineRule="auto"/>
        <w:jc w:val="both"/>
        <w:rPr>
          <w:lang w:val="en-CA"/>
        </w:rPr>
      </w:pPr>
    </w:p>
    <w:p w:rsidR="003D11BA" w:rsidRPr="00571051" w:rsidRDefault="003D11BA" w:rsidP="00212E31">
      <w:pPr>
        <w:rPr>
          <w:b/>
          <w:smallCaps/>
          <w:lang w:val="en-US"/>
        </w:rPr>
      </w:pPr>
      <w:r w:rsidRPr="00571051">
        <w:rPr>
          <w:b/>
          <w:smallCaps/>
          <w:lang w:val="en-US"/>
        </w:rPr>
        <w:t>Clinical conditions associated with ANA</w:t>
      </w:r>
    </w:p>
    <w:p w:rsidR="003D11BA" w:rsidRDefault="003D11BA" w:rsidP="00212E31">
      <w:pPr>
        <w:rPr>
          <w:b/>
          <w:lang w:val="en-US"/>
        </w:rPr>
      </w:pPr>
      <w:r>
        <w:rPr>
          <w:b/>
          <w:lang w:val="en-US"/>
        </w:rPr>
        <w:t xml:space="preserve">Systemic rheumatic diseases </w:t>
      </w:r>
    </w:p>
    <w:p w:rsidR="003D11BA" w:rsidRDefault="003D11BA" w:rsidP="00212E31">
      <w:pPr>
        <w:spacing w:line="240" w:lineRule="auto"/>
        <w:jc w:val="both"/>
        <w:rPr>
          <w:lang w:val="en-US"/>
        </w:rPr>
      </w:pPr>
      <w:r w:rsidRPr="00571051">
        <w:rPr>
          <w:lang w:val="en-US"/>
        </w:rPr>
        <w:t xml:space="preserve">ANA are important laboratory markers to support the diagnosis and prognosis of </w:t>
      </w:r>
      <w:r>
        <w:rPr>
          <w:lang w:val="en-US"/>
        </w:rPr>
        <w:t xml:space="preserve">systemic lupus erythematosus (SLE), Sjögren Syndrome, systemic sclerosis (SSc), mixed connective tissue disease (MCTD) and idiopathic inflammatory myopathies (IIM).  These diseases are commonly denoted as ANA-associated rheumatic diseases.  ANA can be screened for by indirect immunofluorescence (IIF) using HEp-2(000) substrate (reviewed in </w:t>
      </w:r>
      <w:r>
        <w:rPr>
          <w:noProof/>
          <w:lang w:val="en-US"/>
        </w:rPr>
        <w:t>(1)</w:t>
      </w:r>
      <w:r>
        <w:rPr>
          <w:lang w:val="en-US"/>
        </w:rPr>
        <w:t>).  Many target antigens of autoantibodies in ANA-associated rheumatic diseases are known and specific solid phase assays (SPA)s to detect these antibodies are available (e.g. antibodies to dsDNA, Sm, Rib-P in SLE, SSA and SSB in Sjögren Syndrome, U1-RNP in MCTD, centromere protein B, topoisomerase I, polymerase III, fibrillarin, PM-Scl in SSc and Jo-1, PL-7, PL12, EJ, OJ, Mi-2, MDA-5, Tif-1</w:t>
      </w:r>
      <w:r>
        <w:rPr>
          <w:rFonts w:cstheme="minorHAnsi"/>
          <w:lang w:val="en-US"/>
        </w:rPr>
        <w:t>γ</w:t>
      </w:r>
      <w:r>
        <w:rPr>
          <w:lang w:val="en-US"/>
        </w:rPr>
        <w:t xml:space="preserve">, NXP-2, SAE, SRP, and HMGCR in IIM) (reviewed in </w:t>
      </w:r>
      <w:r>
        <w:rPr>
          <w:noProof/>
          <w:lang w:val="en-US"/>
        </w:rPr>
        <w:t>(1)</w:t>
      </w:r>
      <w:r>
        <w:rPr>
          <w:lang w:val="en-US"/>
        </w:rPr>
        <w:t>).  Some specific antibodies are included in the classification criteria for SLE (anti-dsDNA, anti-Sm), Sjögren Syndrome (anti-SSA), SSc (anti-topoisomerase-I, anti-CENPB, anti-polymerase II), MCTD and IIM (anti-jo-1) (reviewed in</w:t>
      </w:r>
      <w:r w:rsidRPr="006B14B9">
        <w:rPr>
          <w:i/>
          <w:lang w:val="en-US"/>
        </w:rPr>
        <w:t xml:space="preserve"> </w:t>
      </w:r>
      <w:r>
        <w:rPr>
          <w:noProof/>
          <w:lang w:val="en-US"/>
        </w:rPr>
        <w:t>(1)</w:t>
      </w:r>
      <w:r>
        <w:rPr>
          <w:lang w:val="en-US"/>
        </w:rPr>
        <w:t xml:space="preserve">).  SPAs that detect antibodies to a mixture of autoantigens relevant for ANA-associated rheumatic diseases and multiplexed assays that simultaneously detect ANA-associated rheumatic disease-associated antibodies are available.  </w:t>
      </w:r>
    </w:p>
    <w:p w:rsidR="003D11BA" w:rsidRDefault="003D11BA" w:rsidP="00212E31">
      <w:pPr>
        <w:spacing w:line="240" w:lineRule="auto"/>
        <w:jc w:val="both"/>
        <w:rPr>
          <w:lang w:val="en-US"/>
        </w:rPr>
      </w:pPr>
      <w:r>
        <w:rPr>
          <w:lang w:val="en-US"/>
        </w:rPr>
        <w:t xml:space="preserve">We refer to recent reviews for detailed information on ANA detection by HEp-2 IIF and SPA in ANA-associated rheumatic diseases </w:t>
      </w:r>
      <w:r>
        <w:rPr>
          <w:noProof/>
          <w:lang w:val="en-US"/>
        </w:rPr>
        <w:t>(1, 6)</w:t>
      </w:r>
      <w:r>
        <w:rPr>
          <w:lang w:val="en-US"/>
        </w:rPr>
        <w:t xml:space="preserve">. In short, ANA detection by HEp-2 IIF at a 1:80 cutoff is highly sensitive but suffers from a low specificity.  Because of its high sensitivity HEp-2 IIF has been considered the gold standard for ANA detection </w:t>
      </w:r>
      <w:r>
        <w:rPr>
          <w:noProof/>
          <w:lang w:val="en-US"/>
        </w:rPr>
        <w:t>(7, 8)</w:t>
      </w:r>
      <w:r>
        <w:rPr>
          <w:lang w:val="en-US"/>
        </w:rPr>
        <w:t xml:space="preserve">  and has been included as entry criterion for SLE classification </w:t>
      </w:r>
      <w:r>
        <w:rPr>
          <w:noProof/>
          <w:lang w:val="en-US"/>
        </w:rPr>
        <w:t>(9)</w:t>
      </w:r>
      <w:r>
        <w:rPr>
          <w:lang w:val="en-US"/>
        </w:rPr>
        <w:t xml:space="preserve">.  The performance characteristics of SPAs differ between the different commercial assays.  SPAs that screen for a set of ANA-associated rheumatic disease-associated antibodies (either by a screening assay or by a multiplexed assay) generally have a higher specificity but lower sensitivity than HEp-2 IIF </w:t>
      </w:r>
      <w:r w:rsidRPr="00B53C85">
        <w:rPr>
          <w:lang w:val="en-US"/>
        </w:rPr>
        <w:t xml:space="preserve">(reviewed in </w:t>
      </w:r>
      <w:r>
        <w:rPr>
          <w:noProof/>
          <w:lang w:val="en-US"/>
        </w:rPr>
        <w:t>(1)</w:t>
      </w:r>
      <w:r w:rsidRPr="00B53C85">
        <w:rPr>
          <w:lang w:val="en-US"/>
        </w:rPr>
        <w:t xml:space="preserve">, see </w:t>
      </w:r>
      <w:r>
        <w:rPr>
          <w:noProof/>
          <w:lang w:val="en-US"/>
        </w:rPr>
        <w:t>(10)</w:t>
      </w:r>
      <w:r w:rsidRPr="00B53C85">
        <w:rPr>
          <w:lang w:val="en-US"/>
        </w:rPr>
        <w:t xml:space="preserve"> for recent meta-analysis).</w:t>
      </w:r>
      <w:r>
        <w:rPr>
          <w:lang w:val="en-US"/>
        </w:rPr>
        <w:t xml:space="preserve">  The performance of HEp-2 IIF and SPA is disease-dependent (e.g. IIF higher sensitivity than SPA for SSc but not for Sjögren Syndrome</w:t>
      </w:r>
      <w:r w:rsidRPr="00B53C85">
        <w:rPr>
          <w:lang w:val="en-US"/>
        </w:rPr>
        <w:t xml:space="preserve">) </w:t>
      </w:r>
      <w:r>
        <w:rPr>
          <w:noProof/>
          <w:lang w:val="en-US"/>
        </w:rPr>
        <w:t>(11, 12)</w:t>
      </w:r>
      <w:r w:rsidRPr="00B53C85">
        <w:rPr>
          <w:lang w:val="en-US"/>
        </w:rPr>
        <w:t xml:space="preserve"> (reviewed in </w:t>
      </w:r>
      <w:r>
        <w:rPr>
          <w:noProof/>
          <w:lang w:val="en-US"/>
        </w:rPr>
        <w:t>(1)</w:t>
      </w:r>
      <w:r w:rsidRPr="00B53C85">
        <w:rPr>
          <w:lang w:val="en-US"/>
        </w:rPr>
        <w:t>).</w:t>
      </w:r>
      <w:r>
        <w:rPr>
          <w:lang w:val="en-US"/>
        </w:rPr>
        <w:t xml:space="preserve">  An important characteristic of ANA testing is that, on the whole, the chance (likelihood) for disease increases with increasing antibody levels for both HEp-2 IIF and </w:t>
      </w:r>
      <w:r w:rsidRPr="00B53C85">
        <w:rPr>
          <w:lang w:val="en-US"/>
        </w:rPr>
        <w:t xml:space="preserve">SPA </w:t>
      </w:r>
      <w:r>
        <w:rPr>
          <w:noProof/>
          <w:lang w:val="en-US"/>
        </w:rPr>
        <w:t>(13-16)</w:t>
      </w:r>
      <w:r w:rsidRPr="00B53C85">
        <w:rPr>
          <w:lang w:val="en-US"/>
        </w:rPr>
        <w:t xml:space="preserve"> (reviewed in </w:t>
      </w:r>
      <w:r>
        <w:rPr>
          <w:noProof/>
          <w:lang w:val="en-US"/>
        </w:rPr>
        <w:t>(1)</w:t>
      </w:r>
      <w:r w:rsidRPr="00B53C85">
        <w:rPr>
          <w:lang w:val="en-US"/>
        </w:rPr>
        <w:t>).</w:t>
      </w:r>
      <w:r>
        <w:rPr>
          <w:lang w:val="en-US"/>
        </w:rPr>
        <w:t xml:space="preserve">  As there is no single HEp-2 IIF or SPA assay that has a good sensitivity and specificity, combining IIF with SPA confers the highest clinical utility: double positivity has the highest likelihood ratio for ANA-associated rheumatic disease and HEp-2 IIF </w:t>
      </w:r>
      <w:r w:rsidRPr="00B53C85">
        <w:rPr>
          <w:lang w:val="en-US"/>
        </w:rPr>
        <w:t xml:space="preserve">might detect antibodies that are missed by SPA and SPA might identify antibodies that are missed by IIF) </w:t>
      </w:r>
      <w:r>
        <w:rPr>
          <w:noProof/>
          <w:lang w:val="en-US"/>
        </w:rPr>
        <w:t>(11-13, 15-17)</w:t>
      </w:r>
      <w:r w:rsidRPr="00B53C85">
        <w:rPr>
          <w:lang w:val="en-US"/>
        </w:rPr>
        <w:t xml:space="preserve"> (reviewed in </w:t>
      </w:r>
      <w:r>
        <w:rPr>
          <w:noProof/>
          <w:lang w:val="en-US"/>
        </w:rPr>
        <w:t>(1)</w:t>
      </w:r>
      <w:r w:rsidRPr="00B53C85">
        <w:rPr>
          <w:lang w:val="en-US"/>
        </w:rPr>
        <w:t>) .</w:t>
      </w:r>
    </w:p>
    <w:p w:rsidR="003D11BA" w:rsidRPr="00676BB1" w:rsidRDefault="003D11BA" w:rsidP="00212E31">
      <w:pPr>
        <w:spacing w:line="240" w:lineRule="auto"/>
        <w:jc w:val="both"/>
        <w:rPr>
          <w:lang w:val="en-US"/>
        </w:rPr>
      </w:pPr>
    </w:p>
    <w:p w:rsidR="003D11BA" w:rsidRPr="00B26773" w:rsidRDefault="003D11BA" w:rsidP="00212E31">
      <w:pPr>
        <w:rPr>
          <w:b/>
          <w:lang w:val="en-US"/>
        </w:rPr>
      </w:pPr>
      <w:r w:rsidRPr="00B26773">
        <w:rPr>
          <w:b/>
          <w:lang w:val="en-US"/>
        </w:rPr>
        <w:t>Juvenile idiopathic arthritis</w:t>
      </w:r>
    </w:p>
    <w:p w:rsidR="003D11BA" w:rsidRPr="002A6EE7" w:rsidRDefault="003D11BA" w:rsidP="00212E31">
      <w:pPr>
        <w:spacing w:after="0" w:line="240" w:lineRule="auto"/>
        <w:jc w:val="both"/>
        <w:rPr>
          <w:rFonts w:cstheme="minorHAnsi"/>
          <w:lang w:val="en-CA"/>
        </w:rPr>
      </w:pPr>
      <w:r w:rsidRPr="002A6EE7">
        <w:rPr>
          <w:rFonts w:cstheme="minorHAnsi"/>
          <w:lang w:val="en-US"/>
        </w:rPr>
        <w:t xml:space="preserve">In a recently published international consensus from the Pediatric Rheumatology International Trials Organization, new classification criteria for juvenile idiopathic arthritis </w:t>
      </w:r>
      <w:r>
        <w:rPr>
          <w:rFonts w:cstheme="minorHAnsi"/>
          <w:lang w:val="en-US"/>
        </w:rPr>
        <w:t xml:space="preserve">(JIA) have been </w:t>
      </w:r>
      <w:r w:rsidRPr="002A6EE7">
        <w:rPr>
          <w:rFonts w:cstheme="minorHAnsi"/>
          <w:lang w:val="en-US"/>
        </w:rPr>
        <w:t xml:space="preserve">proposed </w:t>
      </w:r>
      <w:r>
        <w:rPr>
          <w:rFonts w:cstheme="minorHAnsi"/>
          <w:noProof/>
          <w:lang w:val="en-US"/>
        </w:rPr>
        <w:t>(2)</w:t>
      </w:r>
      <w:r w:rsidRPr="002A6EE7">
        <w:rPr>
          <w:rFonts w:cstheme="minorHAnsi"/>
          <w:lang w:val="en-US"/>
        </w:rPr>
        <w:t>.  In this consensus, e</w:t>
      </w:r>
      <w:r w:rsidRPr="002A6EE7">
        <w:rPr>
          <w:rFonts w:cstheme="minorHAnsi"/>
          <w:lang w:val="en-CA"/>
        </w:rPr>
        <w:t>arly-onset ANA-positive JIA is defined by early-onset (≤6 y</w:t>
      </w:r>
      <w:r>
        <w:rPr>
          <w:rFonts w:cstheme="minorHAnsi"/>
          <w:lang w:val="en-CA"/>
        </w:rPr>
        <w:t>ea</w:t>
      </w:r>
      <w:r w:rsidRPr="002A6EE7">
        <w:rPr>
          <w:rFonts w:cstheme="minorHAnsi"/>
          <w:lang w:val="en-CA"/>
        </w:rPr>
        <w:t>rs</w:t>
      </w:r>
      <w:r>
        <w:rPr>
          <w:rFonts w:cstheme="minorHAnsi"/>
          <w:lang w:val="en-CA"/>
        </w:rPr>
        <w:t xml:space="preserve"> of age</w:t>
      </w:r>
      <w:r w:rsidRPr="002A6EE7">
        <w:rPr>
          <w:rFonts w:cstheme="minorHAnsi"/>
          <w:lang w:val="en-CA"/>
        </w:rPr>
        <w:t>)</w:t>
      </w:r>
      <w:r>
        <w:rPr>
          <w:rFonts w:cstheme="minorHAnsi"/>
          <w:lang w:val="en-CA"/>
        </w:rPr>
        <w:t xml:space="preserve"> </w:t>
      </w:r>
      <w:r w:rsidRPr="002A6EE7">
        <w:rPr>
          <w:rFonts w:cstheme="minorHAnsi"/>
          <w:lang w:val="en-CA"/>
        </w:rPr>
        <w:t>arthritis for ≥6 weeks,  and the presence of 2 positive ANA tests with a titer ≥1</w:t>
      </w:r>
      <w:r>
        <w:rPr>
          <w:rFonts w:cstheme="minorHAnsi"/>
          <w:lang w:val="en-CA"/>
        </w:rPr>
        <w:t>:</w:t>
      </w:r>
      <w:r w:rsidRPr="002A6EE7">
        <w:rPr>
          <w:rFonts w:cstheme="minorHAnsi"/>
          <w:lang w:val="en-CA"/>
        </w:rPr>
        <w:t xml:space="preserve">160 (tested by </w:t>
      </w:r>
      <w:r>
        <w:rPr>
          <w:rFonts w:cstheme="minorHAnsi"/>
          <w:lang w:val="en-CA"/>
        </w:rPr>
        <w:t>IIF</w:t>
      </w:r>
      <w:r w:rsidRPr="002A6EE7">
        <w:rPr>
          <w:rFonts w:cstheme="minorHAnsi"/>
          <w:lang w:val="en-CA"/>
        </w:rPr>
        <w:t xml:space="preserve">) at least 3 months </w:t>
      </w:r>
      <w:r w:rsidRPr="002A6EE7">
        <w:rPr>
          <w:rFonts w:cstheme="minorHAnsi"/>
          <w:lang w:val="en-CA"/>
        </w:rPr>
        <w:lastRenderedPageBreak/>
        <w:t xml:space="preserve">apart </w:t>
      </w:r>
      <w:r>
        <w:rPr>
          <w:rFonts w:cstheme="minorHAnsi"/>
          <w:noProof/>
          <w:lang w:val="en-CA"/>
        </w:rPr>
        <w:t>(2)</w:t>
      </w:r>
      <w:r w:rsidRPr="002A6EE7">
        <w:rPr>
          <w:rFonts w:cstheme="minorHAnsi"/>
          <w:lang w:val="en-CA"/>
        </w:rPr>
        <w:t xml:space="preserve">.  Exclusions are systemic JIA, RF-positive arthritis and enthesitis/spondylitis-related JIA </w:t>
      </w:r>
      <w:r>
        <w:rPr>
          <w:rFonts w:cstheme="minorHAnsi"/>
          <w:noProof/>
          <w:lang w:val="en-CA"/>
        </w:rPr>
        <w:t>(2)</w:t>
      </w:r>
      <w:r w:rsidRPr="002A6EE7">
        <w:rPr>
          <w:rFonts w:cstheme="minorHAnsi"/>
          <w:lang w:val="en-CA"/>
        </w:rPr>
        <w:t>.  The ≥1:160 cutoff was based on</w:t>
      </w:r>
      <w:r>
        <w:rPr>
          <w:rFonts w:cstheme="minorHAnsi"/>
          <w:lang w:val="en-CA"/>
        </w:rPr>
        <w:t xml:space="preserve"> previous</w:t>
      </w:r>
      <w:r w:rsidRPr="002A6EE7">
        <w:rPr>
          <w:rFonts w:cstheme="minorHAnsi"/>
          <w:lang w:val="en-CA"/>
        </w:rPr>
        <w:t xml:space="preserve"> </w:t>
      </w:r>
      <w:r w:rsidRPr="00F029D4">
        <w:rPr>
          <w:rFonts w:cstheme="minorHAnsi"/>
          <w:strike/>
          <w:lang w:val="en-CA"/>
        </w:rPr>
        <w:t>foregoing</w:t>
      </w:r>
      <w:r w:rsidRPr="002A6EE7">
        <w:rPr>
          <w:rFonts w:cstheme="minorHAnsi"/>
          <w:lang w:val="en-CA"/>
        </w:rPr>
        <w:t xml:space="preserve"> studies</w:t>
      </w:r>
      <w:r>
        <w:rPr>
          <w:rFonts w:cstheme="minorHAnsi"/>
          <w:lang w:val="en-CA"/>
        </w:rPr>
        <w:t xml:space="preserve"> </w:t>
      </w:r>
      <w:r>
        <w:rPr>
          <w:rFonts w:cstheme="minorHAnsi"/>
          <w:noProof/>
          <w:lang w:val="en-CA"/>
        </w:rPr>
        <w:t>(18, 19)</w:t>
      </w:r>
      <w:r w:rsidRPr="002A6EE7">
        <w:rPr>
          <w:rFonts w:cstheme="minorHAnsi"/>
          <w:lang w:val="en-CA"/>
        </w:rPr>
        <w:t xml:space="preserve"> .  </w:t>
      </w:r>
    </w:p>
    <w:p w:rsidR="003D11BA" w:rsidRPr="002A6EE7" w:rsidRDefault="003D11BA" w:rsidP="00212E31">
      <w:pPr>
        <w:spacing w:line="240" w:lineRule="auto"/>
        <w:jc w:val="both"/>
        <w:rPr>
          <w:rFonts w:cstheme="minorHAnsi"/>
          <w:lang w:val="en-US"/>
        </w:rPr>
      </w:pPr>
      <w:r w:rsidRPr="002A6EE7">
        <w:rPr>
          <w:rFonts w:cstheme="minorHAnsi"/>
          <w:lang w:val="en-US"/>
        </w:rPr>
        <w:t>Young age at onset of arthritis and ANA positivity by IIF (not by ELISA) are well- recognized predictors of uveitis</w:t>
      </w:r>
      <w:r>
        <w:rPr>
          <w:rFonts w:cstheme="minorHAnsi"/>
          <w:lang w:val="en-US"/>
        </w:rPr>
        <w:t xml:space="preserve"> (ocular complications) in JIA</w:t>
      </w:r>
      <w:r w:rsidRPr="002A6EE7">
        <w:rPr>
          <w:rFonts w:cstheme="minorHAnsi"/>
          <w:lang w:val="en-US"/>
        </w:rPr>
        <w:t xml:space="preserve"> </w:t>
      </w:r>
      <w:r>
        <w:rPr>
          <w:rFonts w:cstheme="minorHAnsi"/>
          <w:noProof/>
          <w:lang w:val="en-US"/>
        </w:rPr>
        <w:t>(20-23)</w:t>
      </w:r>
      <w:r w:rsidRPr="002A6EE7">
        <w:rPr>
          <w:rFonts w:cstheme="minorHAnsi"/>
          <w:lang w:val="en-US"/>
        </w:rPr>
        <w:t xml:space="preserve">.  In recent </w:t>
      </w:r>
      <w:r>
        <w:rPr>
          <w:rFonts w:cstheme="minorHAnsi"/>
          <w:lang w:val="en-US"/>
        </w:rPr>
        <w:t xml:space="preserve">population-based Nordic studies </w:t>
      </w:r>
      <w:r>
        <w:rPr>
          <w:rFonts w:cstheme="minorHAnsi"/>
          <w:noProof/>
          <w:lang w:val="en-US"/>
        </w:rPr>
        <w:t>(20, 21)</w:t>
      </w:r>
      <w:r>
        <w:rPr>
          <w:rFonts w:cstheme="minorHAnsi"/>
          <w:lang w:val="en-US"/>
        </w:rPr>
        <w:t xml:space="preserve">, </w:t>
      </w:r>
      <w:r w:rsidRPr="002A6EE7">
        <w:rPr>
          <w:rFonts w:cstheme="minorHAnsi"/>
          <w:lang w:val="en-US"/>
        </w:rPr>
        <w:t xml:space="preserve">cutoff values for ANA </w:t>
      </w:r>
      <w:r>
        <w:rPr>
          <w:rFonts w:cstheme="minorHAnsi"/>
          <w:lang w:val="en-US"/>
        </w:rPr>
        <w:t xml:space="preserve">as a marker for uveitis in JIA </w:t>
      </w:r>
      <w:r w:rsidRPr="002A6EE7">
        <w:rPr>
          <w:rFonts w:cstheme="minorHAnsi"/>
          <w:lang w:val="en-US"/>
        </w:rPr>
        <w:t>varied between 1:80 and 1:320</w:t>
      </w:r>
      <w:r>
        <w:rPr>
          <w:rFonts w:cstheme="minorHAnsi"/>
          <w:lang w:val="en-US"/>
        </w:rPr>
        <w:t>,</w:t>
      </w:r>
      <w:r w:rsidRPr="002A6EE7">
        <w:rPr>
          <w:rFonts w:cstheme="minorHAnsi"/>
          <w:lang w:val="en-US"/>
        </w:rPr>
        <w:t xml:space="preserve"> depending on the participating center.  </w:t>
      </w:r>
      <w:r>
        <w:rPr>
          <w:rFonts w:cstheme="minorHAnsi"/>
          <w:lang w:val="en-US"/>
        </w:rPr>
        <w:t xml:space="preserve">Nordal </w:t>
      </w:r>
      <w:r w:rsidRPr="00E76BB4">
        <w:rPr>
          <w:rFonts w:cstheme="minorHAnsi"/>
          <w:i/>
          <w:lang w:val="en-US"/>
        </w:rPr>
        <w:t>et al.</w:t>
      </w:r>
      <w:r>
        <w:rPr>
          <w:rFonts w:cstheme="minorHAnsi"/>
          <w:lang w:val="en-US"/>
        </w:rPr>
        <w:t xml:space="preserve"> </w:t>
      </w:r>
      <w:r>
        <w:rPr>
          <w:rFonts w:cstheme="minorHAnsi"/>
          <w:noProof/>
          <w:lang w:val="en-US"/>
        </w:rPr>
        <w:t>(23)</w:t>
      </w:r>
      <w:r>
        <w:rPr>
          <w:rFonts w:cstheme="minorHAnsi"/>
          <w:lang w:val="en-US"/>
        </w:rPr>
        <w:t xml:space="preserve"> reported that t</w:t>
      </w:r>
      <w:r w:rsidRPr="002A6EE7">
        <w:rPr>
          <w:rFonts w:cstheme="minorHAnsi"/>
          <w:lang w:val="en-US"/>
        </w:rPr>
        <w:t>he predictive value (specificity) of ANA for uveitis increase</w:t>
      </w:r>
      <w:r>
        <w:rPr>
          <w:rFonts w:cstheme="minorHAnsi"/>
          <w:lang w:val="en-US"/>
        </w:rPr>
        <w:t>d</w:t>
      </w:r>
      <w:r w:rsidRPr="002A6EE7">
        <w:rPr>
          <w:rFonts w:cstheme="minorHAnsi"/>
          <w:lang w:val="en-US"/>
        </w:rPr>
        <w:t xml:space="preserve"> with increasing titer, but the sensitivity decrease</w:t>
      </w:r>
      <w:r>
        <w:rPr>
          <w:rFonts w:cstheme="minorHAnsi"/>
          <w:lang w:val="en-US"/>
        </w:rPr>
        <w:t>d</w:t>
      </w:r>
      <w:r w:rsidRPr="002A6EE7">
        <w:rPr>
          <w:rFonts w:cstheme="minorHAnsi"/>
          <w:lang w:val="en-US"/>
        </w:rPr>
        <w:t xml:space="preserve"> (e.g. 1:80 high sensitivity whereas 1:320 high specificity</w:t>
      </w:r>
      <w:r>
        <w:rPr>
          <w:rFonts w:cstheme="minorHAnsi"/>
          <w:lang w:val="en-US"/>
        </w:rPr>
        <w:t>)</w:t>
      </w:r>
      <w:r w:rsidRPr="002A6EE7">
        <w:rPr>
          <w:rFonts w:cstheme="minorHAnsi"/>
          <w:lang w:val="en-US"/>
        </w:rPr>
        <w:t xml:space="preserve">.   </w:t>
      </w:r>
    </w:p>
    <w:p w:rsidR="003D11BA" w:rsidRDefault="003D11BA" w:rsidP="00212E31">
      <w:pPr>
        <w:pBdr>
          <w:top w:val="single" w:sz="4" w:space="1" w:color="auto"/>
          <w:left w:val="single" w:sz="4" w:space="4" w:color="auto"/>
          <w:bottom w:val="single" w:sz="4" w:space="1" w:color="auto"/>
          <w:right w:val="single" w:sz="4" w:space="4" w:color="auto"/>
        </w:pBdr>
        <w:rPr>
          <w:lang w:val="en-US"/>
        </w:rPr>
      </w:pPr>
      <w:r>
        <w:rPr>
          <w:lang w:val="en-US"/>
        </w:rPr>
        <w:t>Summary of current consensus/position statements for JIA</w:t>
      </w:r>
    </w:p>
    <w:p w:rsidR="003D11BA" w:rsidRDefault="003D11BA" w:rsidP="00212E31">
      <w:pPr>
        <w:pBdr>
          <w:top w:val="single" w:sz="4" w:space="1" w:color="auto"/>
          <w:left w:val="single" w:sz="4" w:space="4" w:color="auto"/>
          <w:bottom w:val="single" w:sz="4" w:space="1" w:color="auto"/>
          <w:right w:val="single" w:sz="4" w:space="4" w:color="auto"/>
        </w:pBdr>
        <w:rPr>
          <w:lang w:val="en-US"/>
        </w:rPr>
      </w:pPr>
      <w:r>
        <w:rPr>
          <w:lang w:val="en-US"/>
        </w:rPr>
        <w:t xml:space="preserve">For classification of early-onset JIA, ANA by IIF (cutoff </w:t>
      </w:r>
      <w:r w:rsidRPr="002A6EE7">
        <w:rPr>
          <w:rFonts w:cstheme="minorHAnsi"/>
          <w:lang w:val="en-CA"/>
        </w:rPr>
        <w:t>≥ 1</w:t>
      </w:r>
      <w:r>
        <w:rPr>
          <w:rFonts w:cstheme="minorHAnsi"/>
          <w:lang w:val="en-CA"/>
        </w:rPr>
        <w:t>:</w:t>
      </w:r>
      <w:r w:rsidRPr="002A6EE7">
        <w:rPr>
          <w:rFonts w:cstheme="minorHAnsi"/>
          <w:lang w:val="en-CA"/>
        </w:rPr>
        <w:t>160</w:t>
      </w:r>
      <w:r>
        <w:rPr>
          <w:rFonts w:cstheme="minorHAnsi"/>
          <w:lang w:val="en-CA"/>
        </w:rPr>
        <w:t>)</w:t>
      </w:r>
      <w:r w:rsidRPr="002A6EE7">
        <w:rPr>
          <w:rFonts w:cstheme="minorHAnsi"/>
          <w:lang w:val="en-CA"/>
        </w:rPr>
        <w:t xml:space="preserve"> </w:t>
      </w:r>
      <w:r>
        <w:rPr>
          <w:lang w:val="en-US"/>
        </w:rPr>
        <w:t xml:space="preserve">should be used, according to the international consensus from the Pediatric Rheumatology International Trials Organization. </w:t>
      </w:r>
    </w:p>
    <w:p w:rsidR="003D11BA" w:rsidRPr="00B04D76" w:rsidRDefault="003D11BA" w:rsidP="00212E31">
      <w:pPr>
        <w:pBdr>
          <w:top w:val="single" w:sz="4" w:space="1" w:color="auto"/>
          <w:left w:val="single" w:sz="4" w:space="4" w:color="auto"/>
          <w:bottom w:val="single" w:sz="4" w:space="1" w:color="auto"/>
          <w:right w:val="single" w:sz="4" w:space="4" w:color="auto"/>
        </w:pBdr>
        <w:rPr>
          <w:color w:val="A6A6A6" w:themeColor="background1" w:themeShade="A6"/>
          <w:lang w:val="en-US"/>
        </w:rPr>
      </w:pPr>
      <w:r>
        <w:rPr>
          <w:lang w:val="en-US"/>
        </w:rPr>
        <w:t xml:space="preserve">For prediction of uveitis in JIA, ANA by IIF should be </w:t>
      </w:r>
      <w:r w:rsidRPr="00CD3FEB">
        <w:rPr>
          <w:lang w:val="en-US"/>
        </w:rPr>
        <w:t xml:space="preserve">used.  There is no consensus cutoff, but the higher the titer, the higher the predictive value and the lower the sensitivity.  </w:t>
      </w:r>
    </w:p>
    <w:p w:rsidR="003D11BA" w:rsidRDefault="003D11BA" w:rsidP="00212E31">
      <w:pPr>
        <w:rPr>
          <w:b/>
          <w:lang w:val="en-US"/>
        </w:rPr>
      </w:pPr>
    </w:p>
    <w:p w:rsidR="003D11BA" w:rsidRPr="008B515E" w:rsidRDefault="003D11BA" w:rsidP="00212E31">
      <w:pPr>
        <w:rPr>
          <w:b/>
          <w:lang w:val="en-US"/>
        </w:rPr>
      </w:pPr>
      <w:r w:rsidRPr="008B515E">
        <w:rPr>
          <w:b/>
          <w:lang w:val="en-US"/>
        </w:rPr>
        <w:t>Autoimmune hepatitis</w:t>
      </w:r>
    </w:p>
    <w:p w:rsidR="003D11BA" w:rsidRDefault="003D11BA" w:rsidP="00212E31">
      <w:pPr>
        <w:jc w:val="both"/>
        <w:rPr>
          <w:lang w:val="en-US"/>
        </w:rPr>
      </w:pPr>
      <w:r w:rsidRPr="001F4E5C">
        <w:rPr>
          <w:lang w:val="en-US"/>
        </w:rPr>
        <w:t xml:space="preserve">Several guidelines </w:t>
      </w:r>
      <w:r>
        <w:rPr>
          <w:lang w:val="en-US"/>
        </w:rPr>
        <w:t xml:space="preserve">on the diagnosis of autoimmune hepatitis (AIH) have been </w:t>
      </w:r>
      <w:r w:rsidRPr="001F4E5C">
        <w:rPr>
          <w:lang w:val="en-US"/>
        </w:rPr>
        <w:t>formulated by international expert groups.</w:t>
      </w:r>
      <w:r>
        <w:rPr>
          <w:lang w:val="en-US"/>
        </w:rPr>
        <w:t xml:space="preserve">  We here give an overview of these guidelines.  </w:t>
      </w:r>
    </w:p>
    <w:p w:rsidR="003D11BA" w:rsidRDefault="003D11BA" w:rsidP="00212E31">
      <w:pPr>
        <w:jc w:val="both"/>
        <w:rPr>
          <w:lang w:val="en-US"/>
        </w:rPr>
      </w:pPr>
      <w:r>
        <w:rPr>
          <w:lang w:val="en-US"/>
        </w:rPr>
        <w:t>In 1999, the International Autoimmune Hepatitis Group reported criteria for diagnosis of autoimmune hepatitis in which it was stated that seropositivity for ANA, smooth muscle antibodies (SMA) or anti-liver-kidney microsomes-1 (LKM-1) at titers &gt;1:</w:t>
      </w:r>
      <w:r w:rsidDel="00330A78">
        <w:rPr>
          <w:lang w:val="en-US"/>
        </w:rPr>
        <w:t xml:space="preserve"> </w:t>
      </w:r>
      <w:r>
        <w:rPr>
          <w:lang w:val="en-US"/>
        </w:rPr>
        <w:t xml:space="preserve">80 contribute to a definite diagnosis of AIH (a titer 1:40 contributes to a probable diagnosis) </w:t>
      </w:r>
      <w:r>
        <w:rPr>
          <w:noProof/>
          <w:lang w:val="en-US"/>
        </w:rPr>
        <w:t>(24)</w:t>
      </w:r>
      <w:r>
        <w:rPr>
          <w:lang w:val="en-US"/>
        </w:rPr>
        <w:t xml:space="preserve">.  In children, lower titers (particularly for LKM-1) may be significant </w:t>
      </w:r>
      <w:r>
        <w:rPr>
          <w:noProof/>
          <w:lang w:val="en-US"/>
        </w:rPr>
        <w:t>(24)</w:t>
      </w:r>
      <w:r>
        <w:rPr>
          <w:lang w:val="en-US"/>
        </w:rPr>
        <w:t xml:space="preserve">.  The authors stated that the antibodies should be determined by IIF on rodent tissues or, for ANA, on HEp-2 cells </w:t>
      </w:r>
      <w:r>
        <w:rPr>
          <w:noProof/>
          <w:lang w:val="en-US"/>
        </w:rPr>
        <w:t>(24)</w:t>
      </w:r>
      <w:r>
        <w:rPr>
          <w:lang w:val="en-US"/>
        </w:rPr>
        <w:t xml:space="preserve">.   </w:t>
      </w:r>
    </w:p>
    <w:p w:rsidR="003D11BA" w:rsidRDefault="003D11BA" w:rsidP="00212E31">
      <w:pPr>
        <w:jc w:val="both"/>
        <w:rPr>
          <w:lang w:val="en-US"/>
        </w:rPr>
      </w:pPr>
      <w:r>
        <w:rPr>
          <w:lang w:val="en-US"/>
        </w:rPr>
        <w:t xml:space="preserve">In 2008, the International Autoimmune Hepatitis Group issued simplified criteria for the diagnosis of AIH </w:t>
      </w:r>
      <w:r>
        <w:rPr>
          <w:noProof/>
          <w:lang w:val="en-US"/>
        </w:rPr>
        <w:t>(25)</w:t>
      </w:r>
      <w:r>
        <w:rPr>
          <w:lang w:val="en-US"/>
        </w:rPr>
        <w:t xml:space="preserve">.  In these criteria, ANA or SMA with titer </w:t>
      </w:r>
      <w:r w:rsidRPr="00B17419">
        <w:rPr>
          <w:lang w:val="en-US"/>
        </w:rPr>
        <w:t xml:space="preserve">≥1:40 contribute 1 point and ANA or SMA </w:t>
      </w:r>
      <w:r>
        <w:rPr>
          <w:lang w:val="en-US"/>
        </w:rPr>
        <w:t xml:space="preserve">with </w:t>
      </w:r>
      <w:r w:rsidRPr="00B17419">
        <w:rPr>
          <w:lang w:val="en-US"/>
        </w:rPr>
        <w:t xml:space="preserve">titer ≥1:80 or LKM </w:t>
      </w:r>
      <w:r>
        <w:rPr>
          <w:lang w:val="en-US"/>
        </w:rPr>
        <w:t xml:space="preserve">with titer </w:t>
      </w:r>
      <w:r w:rsidRPr="00B17419">
        <w:rPr>
          <w:lang w:val="en-US"/>
        </w:rPr>
        <w:t>≥1:40 or SLA positiv</w:t>
      </w:r>
      <w:r>
        <w:rPr>
          <w:lang w:val="en-US"/>
        </w:rPr>
        <w:t xml:space="preserve">ity contribute 2 points </w:t>
      </w:r>
      <w:r>
        <w:rPr>
          <w:noProof/>
          <w:lang w:val="en-US"/>
        </w:rPr>
        <w:t>(25)</w:t>
      </w:r>
      <w:r>
        <w:rPr>
          <w:lang w:val="en-US"/>
        </w:rPr>
        <w:t xml:space="preserve">.  The authors recognized that ANA screening by HEp-2 IIF may give higher values than screening on tissue sections and stated that if results from HEp-2 cells are used, the values should be halved </w:t>
      </w:r>
      <w:r>
        <w:rPr>
          <w:noProof/>
          <w:lang w:val="en-US"/>
        </w:rPr>
        <w:t>(25)</w:t>
      </w:r>
      <w:r>
        <w:rPr>
          <w:lang w:val="en-US"/>
        </w:rPr>
        <w:t xml:space="preserve">.    </w:t>
      </w:r>
      <w:r w:rsidRPr="001F4E5C">
        <w:rPr>
          <w:lang w:val="en-US"/>
        </w:rPr>
        <w:t xml:space="preserve"> </w:t>
      </w:r>
      <w:r>
        <w:rPr>
          <w:lang w:val="en-US"/>
        </w:rPr>
        <w:t xml:space="preserve"> </w:t>
      </w:r>
    </w:p>
    <w:p w:rsidR="003D11BA" w:rsidRDefault="003D11BA" w:rsidP="00212E31">
      <w:pPr>
        <w:jc w:val="both"/>
        <w:rPr>
          <w:lang w:val="en-US"/>
        </w:rPr>
      </w:pPr>
      <w:r>
        <w:rPr>
          <w:lang w:val="en-US"/>
        </w:rPr>
        <w:t xml:space="preserve">In 2014, a consensus statement from the committee for autoimmune serology of the International Autoimmune Hepatitis Group stated that the basic technique for routine testing of autoantibodies relevant to AIH is IIF on a freshly removed rodent multi-organ substrate panel (including kidney, liver and stomach) </w:t>
      </w:r>
      <w:r>
        <w:rPr>
          <w:noProof/>
          <w:lang w:val="en-US"/>
        </w:rPr>
        <w:t>(3)</w:t>
      </w:r>
      <w:r>
        <w:rPr>
          <w:lang w:val="en-US"/>
        </w:rPr>
        <w:t xml:space="preserve">.  This allows detection of ANA, SMA, anti-LKM-1, anti-mitochondrial (AMA) antibodies and antibodies to liver cytosol type 1 (anti-LC) </w:t>
      </w:r>
      <w:r>
        <w:rPr>
          <w:noProof/>
          <w:lang w:val="en-US"/>
        </w:rPr>
        <w:t>(3)</w:t>
      </w:r>
      <w:r>
        <w:rPr>
          <w:lang w:val="en-US"/>
        </w:rPr>
        <w:t xml:space="preserve">.  The starting dilution proposed is 1:10, but a clinically significant level of positivity is considered 1:40 and 1:20 for ANA and SMA in subjects &lt;18 years old and 1:10 for anti-LKM </w:t>
      </w:r>
      <w:r>
        <w:rPr>
          <w:noProof/>
          <w:lang w:val="en-US"/>
        </w:rPr>
        <w:t>(3)</w:t>
      </w:r>
      <w:r>
        <w:rPr>
          <w:lang w:val="en-US"/>
        </w:rPr>
        <w:t xml:space="preserve">.  In case ANA are detected, the pattern can be further defined by IIF on HEp-2 cells as these cells have more prominent nuclei </w:t>
      </w:r>
      <w:r>
        <w:rPr>
          <w:noProof/>
          <w:lang w:val="en-US"/>
        </w:rPr>
        <w:t>(3)</w:t>
      </w:r>
      <w:r>
        <w:rPr>
          <w:lang w:val="en-US"/>
        </w:rPr>
        <w:t xml:space="preserve">.  </w:t>
      </w:r>
    </w:p>
    <w:p w:rsidR="003D11BA" w:rsidRDefault="003D11BA" w:rsidP="00212E31">
      <w:pPr>
        <w:jc w:val="both"/>
        <w:rPr>
          <w:lang w:val="en-US"/>
        </w:rPr>
      </w:pPr>
      <w:r>
        <w:rPr>
          <w:lang w:val="en-US"/>
        </w:rPr>
        <w:t xml:space="preserve">The use of rodent substrate for screening for AIH was further emphasized by the recent ESPGHAN Hepatology Committee position statement on diagnosis and management of pediatric autoimmune liver disease </w:t>
      </w:r>
      <w:r>
        <w:rPr>
          <w:noProof/>
          <w:lang w:val="en-US"/>
        </w:rPr>
        <w:t>(26)</w:t>
      </w:r>
      <w:r>
        <w:rPr>
          <w:lang w:val="en-US"/>
        </w:rPr>
        <w:t xml:space="preserve">.  The authors summarized that IIF on rodent tissue not only aids in the diagnosis of AIH but also allows the differentiation in AIH-1 (characterized by ANA and SMA) and AIH-2 (characterized by anti-LKM-1 and anti-LC1) </w:t>
      </w:r>
      <w:r>
        <w:rPr>
          <w:noProof/>
          <w:lang w:val="en-US"/>
        </w:rPr>
        <w:t>(26)</w:t>
      </w:r>
      <w:r>
        <w:rPr>
          <w:lang w:val="en-US"/>
        </w:rPr>
        <w:t xml:space="preserve">.  The authors also stressed that a dilution </w:t>
      </w:r>
      <w:r>
        <w:rPr>
          <w:rFonts w:cstheme="minorHAnsi"/>
          <w:lang w:val="en-US"/>
        </w:rPr>
        <w:t>≥</w:t>
      </w:r>
      <w:r>
        <w:rPr>
          <w:lang w:val="en-US"/>
        </w:rPr>
        <w:t xml:space="preserve">1:40 should be considered positive in adults and a dilution </w:t>
      </w:r>
      <w:r>
        <w:rPr>
          <w:rFonts w:cstheme="minorHAnsi"/>
          <w:lang w:val="en-US"/>
        </w:rPr>
        <w:t>≥</w:t>
      </w:r>
      <w:r>
        <w:rPr>
          <w:lang w:val="en-US"/>
        </w:rPr>
        <w:t xml:space="preserve">1:20 should be considered positive in children </w:t>
      </w:r>
      <w:r>
        <w:rPr>
          <w:noProof/>
          <w:lang w:val="en-US"/>
        </w:rPr>
        <w:t>(26)</w:t>
      </w:r>
      <w:r>
        <w:rPr>
          <w:lang w:val="en-US"/>
        </w:rPr>
        <w:t xml:space="preserve">.  The ESPGHAN position statement did not recommend to use HEp-2 cells to screen for ANA in AIH </w:t>
      </w:r>
      <w:r>
        <w:rPr>
          <w:lang w:val="en-US"/>
        </w:rPr>
        <w:lastRenderedPageBreak/>
        <w:t xml:space="preserve">because of the high positivity rate in the normal population and in the presence of infection, especially in children </w:t>
      </w:r>
      <w:r>
        <w:rPr>
          <w:noProof/>
          <w:lang w:val="en-US"/>
        </w:rPr>
        <w:t>(26)</w:t>
      </w:r>
      <w:r>
        <w:rPr>
          <w:lang w:val="en-US"/>
        </w:rPr>
        <w:t xml:space="preserve">.  HEp-2 cells (with their prominent nuclei), however, were recommended to define the ANA pattern in case a positive ANA is found on rodent tissue </w:t>
      </w:r>
      <w:r>
        <w:rPr>
          <w:noProof/>
          <w:lang w:val="en-US"/>
        </w:rPr>
        <w:t>(26)</w:t>
      </w:r>
      <w:r>
        <w:rPr>
          <w:lang w:val="en-US"/>
        </w:rPr>
        <w:t xml:space="preserve">.  </w:t>
      </w:r>
    </w:p>
    <w:p w:rsidR="003D11BA" w:rsidRDefault="003D11BA" w:rsidP="00212E31">
      <w:pPr>
        <w:rPr>
          <w:lang w:val="en-US"/>
        </w:rPr>
      </w:pPr>
    </w:p>
    <w:p w:rsidR="003D11BA" w:rsidRDefault="003D11BA" w:rsidP="00212E31">
      <w:pPr>
        <w:pBdr>
          <w:top w:val="single" w:sz="4" w:space="1" w:color="auto"/>
          <w:left w:val="single" w:sz="4" w:space="4" w:color="auto"/>
          <w:bottom w:val="single" w:sz="4" w:space="1" w:color="auto"/>
          <w:right w:val="single" w:sz="4" w:space="4" w:color="auto"/>
        </w:pBdr>
        <w:rPr>
          <w:lang w:val="en-US"/>
        </w:rPr>
      </w:pPr>
      <w:r>
        <w:rPr>
          <w:lang w:val="en-US"/>
        </w:rPr>
        <w:t>Summary of current consensus/position statements (or criteria) for AIH</w:t>
      </w:r>
    </w:p>
    <w:p w:rsidR="003D11BA" w:rsidRDefault="003D11BA" w:rsidP="00212E31">
      <w:pPr>
        <w:pBdr>
          <w:top w:val="single" w:sz="4" w:space="1" w:color="auto"/>
          <w:left w:val="single" w:sz="4" w:space="4" w:color="auto"/>
          <w:bottom w:val="single" w:sz="4" w:space="1" w:color="auto"/>
          <w:right w:val="single" w:sz="4" w:space="4" w:color="auto"/>
        </w:pBdr>
        <w:rPr>
          <w:lang w:val="en-US"/>
        </w:rPr>
      </w:pPr>
      <w:r>
        <w:rPr>
          <w:lang w:val="en-US"/>
        </w:rPr>
        <w:t xml:space="preserve">In case of suspicion of autoimmune </w:t>
      </w:r>
      <w:r w:rsidRPr="00CD3FEB">
        <w:rPr>
          <w:lang w:val="en-US"/>
        </w:rPr>
        <w:t xml:space="preserve">hepatitis (abnormal liver tests, elevated IgG, interface hepatitis), </w:t>
      </w:r>
      <w:r>
        <w:rPr>
          <w:lang w:val="en-US"/>
        </w:rPr>
        <w:t xml:space="preserve">antibodies should be detected by IIF on rodent tissue (liver, kidney, stomach), which allows to detect ANA, SMA, anti-LKM-1 and anti-LC1.  In case of positive ANA, the pattern should be defined by IIF on HEp-2 cells.  According to international guidelines and position statements, the threshold for positivity should be </w:t>
      </w:r>
      <w:r>
        <w:rPr>
          <w:rFonts w:cstheme="minorHAnsi"/>
          <w:lang w:val="en-US"/>
        </w:rPr>
        <w:t>≥</w:t>
      </w:r>
      <w:r>
        <w:rPr>
          <w:lang w:val="en-US"/>
        </w:rPr>
        <w:t xml:space="preserve">1:40 for adults and </w:t>
      </w:r>
      <w:r>
        <w:rPr>
          <w:rFonts w:cstheme="minorHAnsi"/>
          <w:lang w:val="en-US"/>
        </w:rPr>
        <w:t>≥</w:t>
      </w:r>
      <w:r>
        <w:rPr>
          <w:lang w:val="en-US"/>
        </w:rPr>
        <w:t>1:20 for children on rodent tissue.</w:t>
      </w:r>
    </w:p>
    <w:p w:rsidR="003D11BA" w:rsidRDefault="003D11BA" w:rsidP="00212E31">
      <w:pPr>
        <w:rPr>
          <w:lang w:val="en-US"/>
        </w:rPr>
      </w:pPr>
    </w:p>
    <w:p w:rsidR="003D11BA" w:rsidRPr="00023D3D" w:rsidRDefault="003D11BA" w:rsidP="00212E31">
      <w:pPr>
        <w:rPr>
          <w:b/>
          <w:lang w:val="en-US"/>
        </w:rPr>
      </w:pPr>
      <w:r w:rsidRPr="00023D3D">
        <w:rPr>
          <w:b/>
          <w:lang w:val="en-US"/>
        </w:rPr>
        <w:t>Primary Biliary cholangitis</w:t>
      </w:r>
    </w:p>
    <w:p w:rsidR="003D11BA" w:rsidRDefault="003D11BA" w:rsidP="00212E31">
      <w:pPr>
        <w:jc w:val="both"/>
        <w:rPr>
          <w:lang w:val="en-US"/>
        </w:rPr>
      </w:pPr>
      <w:r>
        <w:rPr>
          <w:lang w:val="en-US"/>
        </w:rPr>
        <w:t>the European Association for the Study of the Liver (EASL) recommends to screen for anti-mitochondrial antibodies (AMA) and PBC-specific ANA by IIF in patients with chronic intrahepatic cholestasis</w:t>
      </w:r>
      <w:r w:rsidRPr="00CD3FEB">
        <w:rPr>
          <w:lang w:val="en-US"/>
        </w:rPr>
        <w:t xml:space="preserve"> (elevated ALP, </w:t>
      </w:r>
      <w:r w:rsidRPr="00CD3FEB">
        <w:rPr>
          <w:rFonts w:cstheme="minorHAnsi"/>
          <w:lang w:val="en-US"/>
        </w:rPr>
        <w:t>γ</w:t>
      </w:r>
      <w:r w:rsidRPr="00CD3FEB">
        <w:rPr>
          <w:lang w:val="en-US"/>
        </w:rPr>
        <w:t xml:space="preserve">GT, conjugated bilirubin, elevated IgM) </w:t>
      </w:r>
      <w:r>
        <w:rPr>
          <w:noProof/>
          <w:color w:val="000000" w:themeColor="text1"/>
          <w:lang w:val="en-US"/>
        </w:rPr>
        <w:t>(4)</w:t>
      </w:r>
      <w:r w:rsidRPr="005D3291">
        <w:rPr>
          <w:lang w:val="en-US"/>
        </w:rPr>
        <w:t>.</w:t>
      </w:r>
      <w:r w:rsidRPr="005D53E3">
        <w:rPr>
          <w:lang w:val="en-US"/>
        </w:rPr>
        <w:t xml:space="preserve"> </w:t>
      </w:r>
      <w:r>
        <w:rPr>
          <w:lang w:val="en-US"/>
        </w:rPr>
        <w:t xml:space="preserve">AMA (&gt;1:40) are directed against the E2-subunit of the pyruvate dehydrogenase complex and are positive in &gt;90% of patients with primary biliary cholangitis (PBC).  Although IIF on triple-tissue is considered the reference method for detection of AMA, a recent study suggested that IIF on triple-tissues might miss some antibodies </w:t>
      </w:r>
      <w:r>
        <w:rPr>
          <w:noProof/>
          <w:lang w:val="en-US"/>
        </w:rPr>
        <w:t>(27)</w:t>
      </w:r>
      <w:r>
        <w:rPr>
          <w:lang w:val="en-US"/>
        </w:rPr>
        <w:t xml:space="preserve">.  AMA </w:t>
      </w:r>
      <w:r w:rsidRPr="00132D67">
        <w:rPr>
          <w:color w:val="000000" w:themeColor="text1"/>
          <w:lang w:val="en-US"/>
        </w:rPr>
        <w:t xml:space="preserve">can also be detected by HEp-2 IIF, however, according to a recent study, the pattern cannot be considered specific </w:t>
      </w:r>
      <w:r>
        <w:rPr>
          <w:noProof/>
          <w:color w:val="000000" w:themeColor="text1"/>
          <w:lang w:val="en-US"/>
        </w:rPr>
        <w:t>(27)</w:t>
      </w:r>
      <w:r w:rsidRPr="00132D67">
        <w:rPr>
          <w:color w:val="000000" w:themeColor="text1"/>
          <w:lang w:val="en-US"/>
        </w:rPr>
        <w:t xml:space="preserve">.  For AMA detection, Florin </w:t>
      </w:r>
      <w:r w:rsidRPr="005D3291">
        <w:rPr>
          <w:i/>
          <w:color w:val="000000" w:themeColor="text1"/>
          <w:lang w:val="en-US"/>
        </w:rPr>
        <w:t>et al.</w:t>
      </w:r>
      <w:r w:rsidRPr="00132D67">
        <w:rPr>
          <w:color w:val="000000" w:themeColor="text1"/>
          <w:lang w:val="en-US"/>
        </w:rPr>
        <w:t xml:space="preserve"> reported a good agreement between IIF on triple-tissues and dot blot but not between HEp-2 IIF and dot blot </w:t>
      </w:r>
      <w:r>
        <w:rPr>
          <w:noProof/>
          <w:color w:val="000000" w:themeColor="text1"/>
          <w:lang w:val="en-US"/>
        </w:rPr>
        <w:t>(28)</w:t>
      </w:r>
      <w:r w:rsidRPr="00132D67">
        <w:rPr>
          <w:color w:val="000000" w:themeColor="text1"/>
          <w:lang w:val="en-US"/>
        </w:rPr>
        <w:t xml:space="preserve">.  The typical AMA-like pattern on HEp-2 cells was only observed in 25% of the AMA-positive samples by triple substrate and/or dot blot </w:t>
      </w:r>
      <w:r>
        <w:rPr>
          <w:noProof/>
          <w:color w:val="000000" w:themeColor="text1"/>
          <w:lang w:val="en-US"/>
        </w:rPr>
        <w:t>(28)</w:t>
      </w:r>
      <w:r w:rsidRPr="00132D67">
        <w:rPr>
          <w:color w:val="000000" w:themeColor="text1"/>
          <w:lang w:val="en-US"/>
        </w:rPr>
        <w:t xml:space="preserve">.  Additional studies are needed to document the performance </w:t>
      </w:r>
      <w:r>
        <w:rPr>
          <w:lang w:val="en-US"/>
        </w:rPr>
        <w:t xml:space="preserve">of HEp-2 IIF versus triple substrate IIF for screening for AMA.  </w:t>
      </w:r>
    </w:p>
    <w:p w:rsidR="003D11BA" w:rsidRDefault="003D11BA" w:rsidP="00212E31">
      <w:pPr>
        <w:jc w:val="both"/>
        <w:rPr>
          <w:lang w:val="en-US"/>
        </w:rPr>
      </w:pPr>
      <w:r>
        <w:rPr>
          <w:lang w:val="en-US"/>
        </w:rPr>
        <w:t>The PBC-specific ANA include anti-sp100 (nuclear dots on HEp-2 IIF) and gp210 (perinuclear rim on HEp-2 IIF).  They can be found in a subset of patients (including AMA-negative patients)</w:t>
      </w:r>
      <w:r>
        <w:rPr>
          <w:noProof/>
          <w:lang w:val="en-US"/>
        </w:rPr>
        <w:t>(4)</w:t>
      </w:r>
      <w:r>
        <w:rPr>
          <w:lang w:val="en-US"/>
        </w:rPr>
        <w:t xml:space="preserve">. Specific assays (e.g. ELISA or dot/line blots) are available to test for these antibodies.  </w:t>
      </w:r>
    </w:p>
    <w:p w:rsidR="003D11BA" w:rsidRDefault="003D11BA" w:rsidP="00212E31">
      <w:pPr>
        <w:jc w:val="both"/>
        <w:rPr>
          <w:lang w:val="en-US"/>
        </w:rPr>
      </w:pPr>
    </w:p>
    <w:p w:rsidR="003D11BA" w:rsidRDefault="003D11BA" w:rsidP="00212E31">
      <w:pPr>
        <w:pBdr>
          <w:top w:val="single" w:sz="4" w:space="1" w:color="auto"/>
          <w:left w:val="single" w:sz="4" w:space="4" w:color="auto"/>
          <w:bottom w:val="single" w:sz="4" w:space="1" w:color="auto"/>
          <w:right w:val="single" w:sz="4" w:space="4" w:color="auto"/>
        </w:pBdr>
        <w:rPr>
          <w:lang w:val="en-US"/>
        </w:rPr>
      </w:pPr>
      <w:r>
        <w:rPr>
          <w:lang w:val="en-US"/>
        </w:rPr>
        <w:t>Summary of current recommendations for PBC</w:t>
      </w:r>
    </w:p>
    <w:p w:rsidR="003D11BA" w:rsidRDefault="003D11BA" w:rsidP="00212E31">
      <w:pPr>
        <w:pBdr>
          <w:top w:val="single" w:sz="4" w:space="1" w:color="auto"/>
          <w:left w:val="single" w:sz="4" w:space="4" w:color="auto"/>
          <w:bottom w:val="single" w:sz="4" w:space="1" w:color="auto"/>
          <w:right w:val="single" w:sz="4" w:space="4" w:color="auto"/>
        </w:pBdr>
        <w:spacing w:after="0"/>
        <w:rPr>
          <w:lang w:val="en-US"/>
        </w:rPr>
      </w:pPr>
      <w:r>
        <w:rPr>
          <w:lang w:val="en-US"/>
        </w:rPr>
        <w:t xml:space="preserve">In case of a clinical suspicion of PBC, </w:t>
      </w:r>
    </w:p>
    <w:p w:rsidR="003D11BA" w:rsidRPr="00303132" w:rsidRDefault="003D11BA" w:rsidP="00212E31">
      <w:pPr>
        <w:pBdr>
          <w:top w:val="single" w:sz="4" w:space="1" w:color="auto"/>
          <w:left w:val="single" w:sz="4" w:space="4" w:color="auto"/>
          <w:bottom w:val="single" w:sz="4" w:space="1" w:color="auto"/>
          <w:right w:val="single" w:sz="4" w:space="4" w:color="auto"/>
        </w:pBdr>
        <w:spacing w:after="0"/>
        <w:rPr>
          <w:lang w:val="en-US"/>
        </w:rPr>
      </w:pPr>
      <w:r>
        <w:rPr>
          <w:lang w:val="en-US"/>
        </w:rPr>
        <w:t xml:space="preserve">- </w:t>
      </w:r>
      <w:r w:rsidRPr="00303132">
        <w:rPr>
          <w:lang w:val="en-US"/>
        </w:rPr>
        <w:t xml:space="preserve">Anti-mitochondrial antibodies should be screened for by IIF on triple-substrate.  Anti-PDH-E2 antibodies can be confirmed by specific assays.  </w:t>
      </w:r>
    </w:p>
    <w:p w:rsidR="003D11BA" w:rsidRPr="00076BD8" w:rsidRDefault="003D11BA" w:rsidP="00212E31">
      <w:pPr>
        <w:pBdr>
          <w:top w:val="single" w:sz="4" w:space="1" w:color="auto"/>
          <w:left w:val="single" w:sz="4" w:space="4" w:color="auto"/>
          <w:bottom w:val="single" w:sz="4" w:space="1" w:color="auto"/>
          <w:right w:val="single" w:sz="4" w:space="4" w:color="auto"/>
        </w:pBdr>
        <w:spacing w:after="0"/>
        <w:rPr>
          <w:lang w:val="en-US"/>
        </w:rPr>
      </w:pPr>
      <w:r w:rsidRPr="00076BD8">
        <w:rPr>
          <w:lang w:val="en-US"/>
        </w:rPr>
        <w:t>- The value and performance of HEp-2 IIF for detection of AMA needs to be further studied</w:t>
      </w:r>
    </w:p>
    <w:p w:rsidR="003D11BA" w:rsidRPr="00303132" w:rsidRDefault="003D11BA" w:rsidP="00212E31">
      <w:pPr>
        <w:pBdr>
          <w:top w:val="single" w:sz="4" w:space="1" w:color="auto"/>
          <w:left w:val="single" w:sz="4" w:space="4" w:color="auto"/>
          <w:bottom w:val="single" w:sz="4" w:space="1" w:color="auto"/>
          <w:right w:val="single" w:sz="4" w:space="4" w:color="auto"/>
        </w:pBdr>
        <w:spacing w:after="0"/>
        <w:rPr>
          <w:lang w:val="en-US"/>
        </w:rPr>
      </w:pPr>
      <w:r w:rsidRPr="00076BD8">
        <w:rPr>
          <w:lang w:val="en-US"/>
        </w:rPr>
        <w:t xml:space="preserve">- PBC-specific ANA can be screened for </w:t>
      </w:r>
      <w:r w:rsidRPr="00303132">
        <w:rPr>
          <w:lang w:val="en-US"/>
        </w:rPr>
        <w:t>by HEp-2 IIF and confirmed by specific assays for anti-sp-100 and gp-anti-210</w:t>
      </w:r>
    </w:p>
    <w:p w:rsidR="003D11BA" w:rsidRPr="007A369B" w:rsidRDefault="003D11BA" w:rsidP="00212E31">
      <w:pPr>
        <w:rPr>
          <w:rFonts w:cstheme="minorHAnsi"/>
          <w:color w:val="000000" w:themeColor="text1"/>
          <w:lang w:val="en-US"/>
        </w:rPr>
      </w:pPr>
    </w:p>
    <w:p w:rsidR="003D11BA" w:rsidRPr="00EB1C35" w:rsidRDefault="003D11BA" w:rsidP="00212E31">
      <w:pPr>
        <w:rPr>
          <w:b/>
          <w:smallCaps/>
          <w:lang w:val="en-US"/>
        </w:rPr>
      </w:pPr>
      <w:r w:rsidRPr="00EB1C35">
        <w:rPr>
          <w:b/>
          <w:smallCaps/>
          <w:lang w:val="en-US"/>
        </w:rPr>
        <w:t>ANA in the healthy population</w:t>
      </w:r>
    </w:p>
    <w:p w:rsidR="003D11BA" w:rsidRDefault="003D11BA" w:rsidP="00212E31">
      <w:pPr>
        <w:spacing w:line="240" w:lineRule="auto"/>
        <w:rPr>
          <w:lang w:val="en-US"/>
        </w:rPr>
      </w:pPr>
      <w:r>
        <w:rPr>
          <w:lang w:val="en-US"/>
        </w:rPr>
        <w:t>In order to better interpret ANA test results it is important to recognize that ANA are frequently found in the general population.  Hereunder a selection of studies that describe ANA prevalence (assessed by HEp-2 IIF) in the general population in different geographies</w:t>
      </w:r>
      <w:r w:rsidRPr="009D4F39">
        <w:rPr>
          <w:lang w:val="en-US"/>
        </w:rPr>
        <w:t xml:space="preserve"> </w:t>
      </w:r>
      <w:r>
        <w:rPr>
          <w:lang w:val="en-US"/>
        </w:rPr>
        <w:t xml:space="preserve">is presented.  </w:t>
      </w:r>
    </w:p>
    <w:p w:rsidR="003D11BA" w:rsidRPr="00FB0174" w:rsidRDefault="003D11BA" w:rsidP="00212E31">
      <w:pPr>
        <w:pStyle w:val="ListParagraph"/>
        <w:numPr>
          <w:ilvl w:val="0"/>
          <w:numId w:val="14"/>
        </w:numPr>
        <w:spacing w:line="240" w:lineRule="auto"/>
        <w:rPr>
          <w:lang w:val="en-US"/>
        </w:rPr>
      </w:pPr>
      <w:r w:rsidRPr="00FB0174">
        <w:rPr>
          <w:lang w:val="en-US"/>
        </w:rPr>
        <w:lastRenderedPageBreak/>
        <w:t xml:space="preserve">In a huge cross-sectional study in China, the prevalence of ANA (by HEp-2 IIF) in the general population [20970 individuals aged 2-88 years (mean age 32)] was 13.98% when a 1:100 cutoff was used and 5.92% when a 1:320 cutoff was used </w:t>
      </w:r>
      <w:r>
        <w:rPr>
          <w:noProof/>
          <w:lang w:val="en-US"/>
        </w:rPr>
        <w:t>(29)</w:t>
      </w:r>
      <w:r w:rsidRPr="00FB0174">
        <w:rPr>
          <w:lang w:val="en-US"/>
        </w:rPr>
        <w:t>.  The positivity rate was higher in females/girls than in males/boys and in older people than in younger people (with a higher prevalence at the age of 20-30 years old)</w:t>
      </w:r>
      <w:r>
        <w:rPr>
          <w:noProof/>
          <w:lang w:val="en-US"/>
        </w:rPr>
        <w:t>(29)</w:t>
      </w:r>
      <w:r w:rsidRPr="00FB0174">
        <w:rPr>
          <w:lang w:val="en-US"/>
        </w:rPr>
        <w:t xml:space="preserve"> .    </w:t>
      </w:r>
    </w:p>
    <w:p w:rsidR="003D11BA" w:rsidRPr="00FB0174" w:rsidRDefault="003D11BA" w:rsidP="00212E31">
      <w:pPr>
        <w:pStyle w:val="ListParagraph"/>
        <w:numPr>
          <w:ilvl w:val="0"/>
          <w:numId w:val="14"/>
        </w:numPr>
        <w:spacing w:line="240" w:lineRule="auto"/>
        <w:rPr>
          <w:lang w:val="en-US"/>
        </w:rPr>
      </w:pPr>
      <w:r w:rsidRPr="00FB0174">
        <w:rPr>
          <w:lang w:val="en-US"/>
        </w:rPr>
        <w:t xml:space="preserve">In a cross-sectional study in the USA, the prevalence of ANA (by HEp-2 IIF) in the general population [4754 individuals aged </w:t>
      </w:r>
      <w:r w:rsidRPr="00FB0174">
        <w:rPr>
          <w:rFonts w:cstheme="minorHAnsi"/>
          <w:lang w:val="en-US"/>
        </w:rPr>
        <w:t>≥</w:t>
      </w:r>
      <w:r w:rsidRPr="00FB0174">
        <w:rPr>
          <w:lang w:val="en-US"/>
        </w:rPr>
        <w:t xml:space="preserve">4 years] was 13.8% when a 1:80 cutoff was used </w:t>
      </w:r>
      <w:r>
        <w:rPr>
          <w:noProof/>
          <w:lang w:val="en-US"/>
        </w:rPr>
        <w:t>(30)</w:t>
      </w:r>
      <w:r w:rsidRPr="00FB0174">
        <w:rPr>
          <w:lang w:val="en-US"/>
        </w:rPr>
        <w:t xml:space="preserve">.  ANA prevalence increased with age and ANA were more prevalent among females than males </w:t>
      </w:r>
      <w:r>
        <w:rPr>
          <w:noProof/>
          <w:lang w:val="en-US"/>
        </w:rPr>
        <w:t>(30)</w:t>
      </w:r>
      <w:r>
        <w:rPr>
          <w:lang w:val="en-US"/>
        </w:rPr>
        <w:t>.</w:t>
      </w:r>
    </w:p>
    <w:p w:rsidR="003D11BA" w:rsidRPr="00FB0174" w:rsidRDefault="003D11BA" w:rsidP="00212E31">
      <w:pPr>
        <w:pStyle w:val="ListParagraph"/>
        <w:numPr>
          <w:ilvl w:val="0"/>
          <w:numId w:val="14"/>
        </w:numPr>
        <w:spacing w:line="240" w:lineRule="auto"/>
        <w:rPr>
          <w:lang w:val="en-US"/>
        </w:rPr>
      </w:pPr>
      <w:r w:rsidRPr="00FB0174">
        <w:rPr>
          <w:lang w:val="en-US"/>
        </w:rPr>
        <w:t>In a cross-sectional study in Germany</w:t>
      </w:r>
      <w:r>
        <w:rPr>
          <w:lang w:val="en-US"/>
        </w:rPr>
        <w:t xml:space="preserve"> </w:t>
      </w:r>
      <w:r>
        <w:rPr>
          <w:noProof/>
          <w:lang w:val="en-US"/>
        </w:rPr>
        <w:t>(31)</w:t>
      </w:r>
      <w:r w:rsidRPr="00FB0174">
        <w:rPr>
          <w:lang w:val="en-US"/>
        </w:rPr>
        <w:t xml:space="preserve">, the prevalence of ANA (by semi-automated HEp-2 IIF system) in the general population [1199 individuals aged </w:t>
      </w:r>
      <w:r w:rsidRPr="00FB0174">
        <w:rPr>
          <w:rFonts w:cstheme="minorHAnsi"/>
          <w:lang w:val="en-US"/>
        </w:rPr>
        <w:t>≥20</w:t>
      </w:r>
      <w:r w:rsidRPr="00FB0174">
        <w:rPr>
          <w:lang w:val="en-US"/>
        </w:rPr>
        <w:t xml:space="preserve"> years] </w:t>
      </w:r>
      <w:r>
        <w:rPr>
          <w:lang w:val="en-US"/>
        </w:rPr>
        <w:t>w</w:t>
      </w:r>
      <w:r w:rsidRPr="00FB0174">
        <w:rPr>
          <w:lang w:val="en-US"/>
        </w:rPr>
        <w:t>as 33%</w:t>
      </w:r>
      <w:r>
        <w:rPr>
          <w:lang w:val="en-US"/>
        </w:rPr>
        <w:t xml:space="preserve"> when a cutoff of 1:80 was used</w:t>
      </w:r>
      <w:r w:rsidRPr="00FB0174">
        <w:rPr>
          <w:lang w:val="en-US"/>
        </w:rPr>
        <w:t xml:space="preserve">.  The majority (29%) of the ANA were weak positive (titer 1:80 or 1:160).  ANA positivity was more common among women than among men </w:t>
      </w:r>
      <w:r>
        <w:rPr>
          <w:noProof/>
          <w:lang w:val="en-US"/>
        </w:rPr>
        <w:t>(31)</w:t>
      </w:r>
      <w:r w:rsidRPr="00FB0174">
        <w:rPr>
          <w:lang w:val="en-US"/>
        </w:rPr>
        <w:t xml:space="preserve">.  Comparable to the results obtained in Germany, the prevalence of ANA (by semi-automated HEp-2 IIF) in 279 Belgian blood donors [median age (range) 46 (18–69)] at a 1:80 cutoff was 34% </w:t>
      </w:r>
      <w:r>
        <w:rPr>
          <w:noProof/>
          <w:lang w:val="en-US"/>
        </w:rPr>
        <w:t>(15)</w:t>
      </w:r>
      <w:r w:rsidRPr="00FB0174">
        <w:rPr>
          <w:lang w:val="en-US"/>
        </w:rPr>
        <w:t>.</w:t>
      </w:r>
    </w:p>
    <w:p w:rsidR="003D11BA" w:rsidRDefault="003D11BA" w:rsidP="00212E31">
      <w:pPr>
        <w:spacing w:line="240" w:lineRule="auto"/>
        <w:jc w:val="both"/>
        <w:rPr>
          <w:lang w:val="en-US"/>
        </w:rPr>
      </w:pPr>
      <w:r>
        <w:rPr>
          <w:lang w:val="en-US"/>
        </w:rPr>
        <w:t xml:space="preserve">Some studies specifically focused on children. Sperotto </w:t>
      </w:r>
      <w:r w:rsidRPr="004C5BCF">
        <w:rPr>
          <w:i/>
          <w:lang w:val="en-US"/>
        </w:rPr>
        <w:t>et al.</w:t>
      </w:r>
      <w:r>
        <w:rPr>
          <w:lang w:val="en-US"/>
        </w:rPr>
        <w:t xml:space="preserve"> </w:t>
      </w:r>
      <w:r>
        <w:rPr>
          <w:noProof/>
          <w:lang w:val="en-US"/>
        </w:rPr>
        <w:t>(32)</w:t>
      </w:r>
      <w:r>
        <w:rPr>
          <w:lang w:val="en-US"/>
        </w:rPr>
        <w:t xml:space="preserve"> reported that 12% of 261 healthy Italian children (aged 8-13 years) were ANA-positive (by HEp-2 IIF), Hilario </w:t>
      </w:r>
      <w:r w:rsidRPr="00BA06C0">
        <w:rPr>
          <w:i/>
          <w:lang w:val="en-US"/>
        </w:rPr>
        <w:t>et al.</w:t>
      </w:r>
      <w:r>
        <w:rPr>
          <w:lang w:val="en-US"/>
        </w:rPr>
        <w:t xml:space="preserve"> </w:t>
      </w:r>
      <w:r>
        <w:rPr>
          <w:noProof/>
          <w:lang w:val="en-US"/>
        </w:rPr>
        <w:t>(33)</w:t>
      </w:r>
      <w:r>
        <w:rPr>
          <w:lang w:val="en-US"/>
        </w:rPr>
        <w:t xml:space="preserve"> that 12.7% of Brazilian healthy children and adolescents were ANA positive (by HEp-2 IIF) and Somers </w:t>
      </w:r>
      <w:r w:rsidRPr="00BA06C0">
        <w:rPr>
          <w:i/>
          <w:lang w:val="en-US"/>
        </w:rPr>
        <w:t>et al.</w:t>
      </w:r>
      <w:r>
        <w:rPr>
          <w:lang w:val="en-US"/>
        </w:rPr>
        <w:t xml:space="preserve"> </w:t>
      </w:r>
      <w:r>
        <w:rPr>
          <w:noProof/>
          <w:lang w:val="en-US"/>
        </w:rPr>
        <w:t>(34)</w:t>
      </w:r>
      <w:r>
        <w:rPr>
          <w:lang w:val="en-US"/>
        </w:rPr>
        <w:t xml:space="preserve"> that u</w:t>
      </w:r>
      <w:r w:rsidRPr="00D648D9">
        <w:rPr>
          <w:lang w:val="en-US"/>
        </w:rPr>
        <w:t xml:space="preserve">p to 15% of children </w:t>
      </w:r>
      <w:r>
        <w:rPr>
          <w:lang w:val="en-US"/>
        </w:rPr>
        <w:t>of</w:t>
      </w:r>
      <w:r w:rsidRPr="00D648D9">
        <w:rPr>
          <w:lang w:val="en-US"/>
        </w:rPr>
        <w:t xml:space="preserve"> th</w:t>
      </w:r>
      <w:r>
        <w:rPr>
          <w:lang w:val="en-US"/>
        </w:rPr>
        <w:t>e</w:t>
      </w:r>
      <w:r w:rsidRPr="00D648D9">
        <w:rPr>
          <w:lang w:val="en-US"/>
        </w:rPr>
        <w:t xml:space="preserve"> general </w:t>
      </w:r>
      <w:r>
        <w:rPr>
          <w:lang w:val="en-US"/>
        </w:rPr>
        <w:t xml:space="preserve">pediatric </w:t>
      </w:r>
      <w:r w:rsidRPr="00D648D9">
        <w:rPr>
          <w:lang w:val="en-US"/>
        </w:rPr>
        <w:t xml:space="preserve">population </w:t>
      </w:r>
      <w:r>
        <w:rPr>
          <w:lang w:val="en-US"/>
        </w:rPr>
        <w:t xml:space="preserve">(aged 9-17 years) of Mexico City (n=114) </w:t>
      </w:r>
      <w:r w:rsidRPr="00D648D9">
        <w:rPr>
          <w:lang w:val="en-US"/>
        </w:rPr>
        <w:t>were ANA positive, with a higher rate of positivity among females</w:t>
      </w:r>
      <w:r>
        <w:rPr>
          <w:lang w:val="en-US"/>
        </w:rPr>
        <w:t xml:space="preserve">.  All three studies applied a 1:80 cutoff.  In 207 children from Thailand, ANA (by HEp-2 IIF) positivity was found in 15% using a 1:40 cutoff </w:t>
      </w:r>
      <w:r>
        <w:rPr>
          <w:noProof/>
          <w:lang w:val="en-US"/>
        </w:rPr>
        <w:t>(35)</w:t>
      </w:r>
      <w:r>
        <w:rPr>
          <w:lang w:val="en-US"/>
        </w:rPr>
        <w:t xml:space="preserve">.  In all these studies, positive ANAs mainly concerned low antibody levels. Sperotto </w:t>
      </w:r>
      <w:r w:rsidRPr="00BA06C0">
        <w:rPr>
          <w:i/>
          <w:lang w:val="en-US"/>
        </w:rPr>
        <w:t>et al.</w:t>
      </w:r>
      <w:r>
        <w:rPr>
          <w:lang w:val="en-US"/>
        </w:rPr>
        <w:t xml:space="preserve"> found that the ANA prevalence and titer increased during puberty, especially in females </w:t>
      </w:r>
      <w:r>
        <w:rPr>
          <w:noProof/>
          <w:lang w:val="en-US"/>
        </w:rPr>
        <w:t>(32)</w:t>
      </w:r>
      <w:r>
        <w:rPr>
          <w:lang w:val="en-US"/>
        </w:rPr>
        <w:t>.  An old American study reported an ANA positivity of only 0.4% in 241 children (aged 4 months – 16 years)</w:t>
      </w:r>
      <w:r>
        <w:rPr>
          <w:noProof/>
          <w:lang w:val="en-US"/>
        </w:rPr>
        <w:t>(36)</w:t>
      </w:r>
      <w:r>
        <w:rPr>
          <w:lang w:val="en-US"/>
        </w:rPr>
        <w:t xml:space="preserve">.   </w:t>
      </w:r>
    </w:p>
    <w:p w:rsidR="003D11BA" w:rsidRDefault="003D11BA" w:rsidP="00212E31">
      <w:pPr>
        <w:spacing w:line="240" w:lineRule="auto"/>
        <w:jc w:val="both"/>
        <w:rPr>
          <w:lang w:val="en-US"/>
        </w:rPr>
      </w:pPr>
    </w:p>
    <w:tbl>
      <w:tblPr>
        <w:tblStyle w:val="TableGrid"/>
        <w:tblW w:w="0" w:type="auto"/>
        <w:tblLook w:val="04A0" w:firstRow="1" w:lastRow="0" w:firstColumn="1" w:lastColumn="0" w:noHBand="0" w:noVBand="1"/>
      </w:tblPr>
      <w:tblGrid>
        <w:gridCol w:w="9060"/>
      </w:tblGrid>
      <w:tr w:rsidR="003D11BA" w:rsidRPr="00CA415F" w:rsidTr="00212E31">
        <w:tc>
          <w:tcPr>
            <w:tcW w:w="9060" w:type="dxa"/>
            <w:shd w:val="clear" w:color="auto" w:fill="E7E6E6" w:themeFill="background2"/>
          </w:tcPr>
          <w:p w:rsidR="003D11BA" w:rsidRDefault="003D11BA" w:rsidP="00212E31">
            <w:pPr>
              <w:rPr>
                <w:lang w:val="en-US"/>
              </w:rPr>
            </w:pPr>
          </w:p>
          <w:p w:rsidR="003D11BA" w:rsidRDefault="003D11BA" w:rsidP="00212E31">
            <w:pPr>
              <w:rPr>
                <w:lang w:val="en-US"/>
              </w:rPr>
            </w:pPr>
            <w:r>
              <w:rPr>
                <w:lang w:val="en-US"/>
              </w:rPr>
              <w:t xml:space="preserve">ANA positivity (at low titers) is found in a substantial proportion of healthy individuals (adults and children) and this should be taken into account when interpreting test results.  </w:t>
            </w:r>
          </w:p>
          <w:p w:rsidR="003D11BA" w:rsidRDefault="003D11BA" w:rsidP="00212E31">
            <w:pPr>
              <w:jc w:val="both"/>
              <w:rPr>
                <w:lang w:val="en-US"/>
              </w:rPr>
            </w:pPr>
          </w:p>
        </w:tc>
      </w:tr>
    </w:tbl>
    <w:p w:rsidR="003D11BA" w:rsidRDefault="003D11BA" w:rsidP="00212E31">
      <w:pPr>
        <w:rPr>
          <w:sz w:val="18"/>
          <w:szCs w:val="18"/>
          <w:lang w:val="en-US"/>
        </w:rPr>
      </w:pPr>
    </w:p>
    <w:p w:rsidR="003D11BA" w:rsidRPr="00267074" w:rsidRDefault="003D11BA" w:rsidP="00212E31">
      <w:pPr>
        <w:rPr>
          <w:b/>
          <w:smallCaps/>
          <w:lang w:val="en-US"/>
        </w:rPr>
      </w:pPr>
      <w:r w:rsidRPr="00267074">
        <w:rPr>
          <w:b/>
          <w:smallCaps/>
          <w:lang w:val="en-US"/>
        </w:rPr>
        <w:t xml:space="preserve">ANA by </w:t>
      </w:r>
      <w:r>
        <w:rPr>
          <w:b/>
          <w:smallCaps/>
          <w:lang w:val="en-US"/>
        </w:rPr>
        <w:t>SPA</w:t>
      </w:r>
    </w:p>
    <w:p w:rsidR="003D11BA" w:rsidRDefault="003D11BA" w:rsidP="00212E31">
      <w:pPr>
        <w:jc w:val="both"/>
        <w:rPr>
          <w:lang w:val="en-US"/>
        </w:rPr>
      </w:pPr>
      <w:r>
        <w:rPr>
          <w:lang w:val="en-US"/>
        </w:rPr>
        <w:t xml:space="preserve">SPAs for ANA screening and for (multiplexed) identification of specific antibodies are on hand (reviewed in </w:t>
      </w:r>
      <w:r>
        <w:rPr>
          <w:noProof/>
          <w:lang w:val="en-US"/>
        </w:rPr>
        <w:t>(1, 37)</w:t>
      </w:r>
      <w:r>
        <w:rPr>
          <w:lang w:val="en-US"/>
        </w:rPr>
        <w:t xml:space="preserve">).  It is beyond the scope of this work to summarize the performance characteristics of the different assay platforms and methodologies.  For a recent comprehensive review, see Bossuyt </w:t>
      </w:r>
      <w:r w:rsidRPr="00D57BD6">
        <w:rPr>
          <w:i/>
          <w:lang w:val="en-US"/>
        </w:rPr>
        <w:t>et al.</w:t>
      </w:r>
      <w:r>
        <w:rPr>
          <w:lang w:val="en-US"/>
        </w:rPr>
        <w:t xml:space="preserve"> </w:t>
      </w:r>
      <w:r>
        <w:rPr>
          <w:noProof/>
          <w:lang w:val="en-US"/>
        </w:rPr>
        <w:t>(1)</w:t>
      </w:r>
      <w:r>
        <w:rPr>
          <w:lang w:val="en-US"/>
        </w:rPr>
        <w:t xml:space="preserve">. In short, the performance of these assays is assay- and disease-dependent.  One should be aware of the strengths and weaknesses of the SPAs as a screening tool when applied in a clinical setting.  The best clinical performance for ANA-associated rheumatic disease is obtained when SPA and HEp-2 IIF are combined (see above under ANA in systemic rheumatic diseases).  Defining  test result-specific LRs adds clinical value to SPA test results and allows to harmonize interpretation </w:t>
      </w:r>
      <w:r>
        <w:rPr>
          <w:noProof/>
          <w:lang w:val="en-US"/>
        </w:rPr>
        <w:t>(38)</w:t>
      </w:r>
      <w:r>
        <w:rPr>
          <w:lang w:val="en-US"/>
        </w:rPr>
        <w:t>.</w:t>
      </w:r>
    </w:p>
    <w:p w:rsidR="003D11BA" w:rsidRDefault="003D11BA" w:rsidP="00212E31">
      <w:pPr>
        <w:jc w:val="both"/>
        <w:rPr>
          <w:lang w:val="en-US"/>
        </w:rPr>
      </w:pPr>
    </w:p>
    <w:p w:rsidR="003D11BA" w:rsidRDefault="003D11BA" w:rsidP="00212E31">
      <w:pPr>
        <w:jc w:val="both"/>
        <w:rPr>
          <w:lang w:val="en-US"/>
        </w:rPr>
      </w:pPr>
    </w:p>
    <w:p w:rsidR="003D11BA" w:rsidRDefault="003D11BA" w:rsidP="00212E31">
      <w:pPr>
        <w:jc w:val="both"/>
        <w:rPr>
          <w:lang w:val="en-US"/>
        </w:rPr>
      </w:pPr>
    </w:p>
    <w:p w:rsidR="003D11BA" w:rsidRDefault="003D11BA" w:rsidP="00212E31">
      <w:pPr>
        <w:rPr>
          <w:rFonts w:cstheme="minorHAnsi"/>
          <w:lang w:val="en-US"/>
        </w:rPr>
      </w:pPr>
    </w:p>
    <w:p w:rsidR="003D11BA" w:rsidRPr="00211B2F"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jc w:val="both"/>
        <w:rPr>
          <w:rFonts w:cstheme="minorHAnsi"/>
          <w:lang w:val="en-US"/>
        </w:rPr>
      </w:pPr>
    </w:p>
    <w:p w:rsidR="003D11BA" w:rsidRPr="00132D67" w:rsidRDefault="003D11BA" w:rsidP="00212E31">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The performance of SPA assays for ANA screening / detection is disease- and assay-dependent</w:t>
      </w:r>
    </w:p>
    <w:p w:rsidR="003D11BA" w:rsidRPr="00132D67" w:rsidRDefault="003D11BA" w:rsidP="00212E31">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There is no single SPA threshold that has good sensitivity and good specificity</w:t>
      </w:r>
    </w:p>
    <w:p w:rsidR="003D11BA" w:rsidRPr="00132D67" w:rsidRDefault="003D11BA" w:rsidP="00212E31">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 xml:space="preserve">Reporting test result (interval)-specific likelihood ratios for ANA-associated rheumatic disease improves clinical interpretation of SPA test results </w:t>
      </w:r>
    </w:p>
    <w:p w:rsidR="003D11BA" w:rsidRDefault="003D11BA" w:rsidP="00212E31">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 xml:space="preserve">Combining HEp-2 IIF with SPA grants the highest clinical value  </w:t>
      </w:r>
    </w:p>
    <w:p w:rsidR="003D11BA" w:rsidRPr="00A50311"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jc w:val="both"/>
        <w:rPr>
          <w:rFonts w:cstheme="minorHAnsi"/>
          <w:lang w:val="en-US"/>
        </w:rPr>
      </w:pPr>
    </w:p>
    <w:p w:rsidR="003D11BA" w:rsidRDefault="003D11BA" w:rsidP="00212E31">
      <w:pPr>
        <w:rPr>
          <w:lang w:val="en-US"/>
        </w:rPr>
      </w:pPr>
    </w:p>
    <w:p w:rsidR="003D11BA" w:rsidRDefault="003D11BA" w:rsidP="00212E31">
      <w:pPr>
        <w:rPr>
          <w:sz w:val="18"/>
          <w:szCs w:val="18"/>
          <w:lang w:val="en-US"/>
        </w:rPr>
      </w:pPr>
    </w:p>
    <w:p w:rsidR="003D11BA" w:rsidRPr="00EB1C35" w:rsidRDefault="003D11BA" w:rsidP="00212E31">
      <w:pPr>
        <w:rPr>
          <w:b/>
          <w:smallCaps/>
          <w:lang w:val="en-US"/>
        </w:rPr>
      </w:pPr>
      <w:r>
        <w:rPr>
          <w:b/>
          <w:smallCaps/>
          <w:lang w:val="en-US"/>
        </w:rPr>
        <w:t xml:space="preserve">ANA by HEp-2 IIF: </w:t>
      </w:r>
      <w:r w:rsidRPr="00EB1C35">
        <w:rPr>
          <w:b/>
          <w:smallCaps/>
          <w:lang w:val="en-US"/>
        </w:rPr>
        <w:t xml:space="preserve">Reporting of </w:t>
      </w:r>
      <w:r>
        <w:rPr>
          <w:b/>
          <w:smallCaps/>
          <w:lang w:val="en-US"/>
        </w:rPr>
        <w:t>results</w:t>
      </w:r>
    </w:p>
    <w:p w:rsidR="003D11BA" w:rsidRPr="00EB1C35" w:rsidRDefault="003D11BA" w:rsidP="00212E31">
      <w:pPr>
        <w:jc w:val="both"/>
        <w:rPr>
          <w:lang w:val="en-US"/>
        </w:rPr>
      </w:pPr>
      <w:r w:rsidRPr="00EB1C35">
        <w:rPr>
          <w:lang w:val="en-US"/>
        </w:rPr>
        <w:t xml:space="preserve">ANA </w:t>
      </w:r>
      <w:r>
        <w:rPr>
          <w:lang w:val="en-US"/>
        </w:rPr>
        <w:t xml:space="preserve">by HEp-2 IIF should report the antibody titer (highest dilution to demonstrate reactivity) the ANA </w:t>
      </w:r>
      <w:r w:rsidRPr="00EA45DE">
        <w:rPr>
          <w:lang w:val="en-US"/>
        </w:rPr>
        <w:t xml:space="preserve">pattern and the screenings dilution used </w:t>
      </w:r>
      <w:r>
        <w:rPr>
          <w:noProof/>
          <w:lang w:val="en-US"/>
        </w:rPr>
        <w:t>(8, 39)</w:t>
      </w:r>
      <w:r w:rsidRPr="00EA45DE">
        <w:rPr>
          <w:lang w:val="en-US"/>
        </w:rPr>
        <w:t>. In line</w:t>
      </w:r>
      <w:r>
        <w:rPr>
          <w:lang w:val="en-US"/>
        </w:rPr>
        <w:t xml:space="preserve"> with the recently published ICAP guidelines the pattern should be reported according to the ICAP nomenclature (www. anapatterns.org)</w:t>
      </w:r>
      <w:r>
        <w:rPr>
          <w:noProof/>
          <w:lang w:val="en-US"/>
        </w:rPr>
        <w:t>(39)</w:t>
      </w:r>
      <w:r>
        <w:rPr>
          <w:lang w:val="en-US"/>
        </w:rPr>
        <w:t xml:space="preserve">. </w:t>
      </w:r>
    </w:p>
    <w:p w:rsidR="003D11BA" w:rsidRPr="00EB1C35" w:rsidRDefault="003D11BA" w:rsidP="00212E31">
      <w:pPr>
        <w:rPr>
          <w:lang w:val="en-US"/>
        </w:rPr>
      </w:pPr>
    </w:p>
    <w:p w:rsidR="003D11BA" w:rsidRPr="00C53164" w:rsidRDefault="003D11BA" w:rsidP="00212E31">
      <w:pPr>
        <w:rPr>
          <w:b/>
          <w:lang w:val="en-US"/>
        </w:rPr>
      </w:pPr>
      <w:r w:rsidRPr="00C53164">
        <w:rPr>
          <w:b/>
          <w:lang w:val="en-US"/>
        </w:rPr>
        <w:t>Establishment of a reference range</w:t>
      </w:r>
      <w:r>
        <w:rPr>
          <w:b/>
          <w:lang w:val="en-US"/>
        </w:rPr>
        <w:t xml:space="preserve"> and importance of ANA titer</w:t>
      </w:r>
    </w:p>
    <w:p w:rsidR="003D11BA" w:rsidRPr="00C53164" w:rsidRDefault="003D11BA" w:rsidP="00212E31">
      <w:pPr>
        <w:rPr>
          <w:i/>
          <w:lang w:val="en-US"/>
        </w:rPr>
      </w:pPr>
      <w:r w:rsidRPr="00C53164">
        <w:rPr>
          <w:i/>
          <w:lang w:val="en-US"/>
        </w:rPr>
        <w:t>Existing recommendations</w:t>
      </w:r>
    </w:p>
    <w:p w:rsidR="003D11BA" w:rsidRDefault="003D11BA" w:rsidP="00212E31">
      <w:pPr>
        <w:jc w:val="both"/>
        <w:rPr>
          <w:lang w:val="en-US"/>
        </w:rPr>
      </w:pPr>
      <w:r>
        <w:rPr>
          <w:lang w:val="en-US"/>
        </w:rPr>
        <w:t>Recommendations for establishing reference intervals have been proposed by The Clinical and Laboratory Standards Institute (CLSI) and by EASI (European Autoimmunity Standardization Initiative in conjunction with IUIS (International Union of Immunology Societies).  CLSI stated that “</w:t>
      </w:r>
      <w:r w:rsidRPr="00AD60D3">
        <w:rPr>
          <w:i/>
          <w:lang w:val="en-US"/>
        </w:rPr>
        <w:t>the laboratory should establish a range of reference values for 95% of the nonrheumatic disease population with representative patients from age groups younger than 40 years and older than 40 years</w:t>
      </w:r>
      <w:r>
        <w:rPr>
          <w:lang w:val="en-US"/>
        </w:rPr>
        <w:t xml:space="preserve">” </w:t>
      </w:r>
      <w:r>
        <w:rPr>
          <w:noProof/>
          <w:lang w:val="en-US"/>
        </w:rPr>
        <w:t>(40, 41)</w:t>
      </w:r>
      <w:r>
        <w:rPr>
          <w:lang w:val="en-US"/>
        </w:rPr>
        <w:t xml:space="preserve">.  The EASI/IUIS international </w:t>
      </w:r>
      <w:r>
        <w:rPr>
          <w:noProof/>
          <w:lang w:val="en-US"/>
        </w:rPr>
        <w:t>(8)</w:t>
      </w:r>
      <w:r>
        <w:rPr>
          <w:lang w:val="en-US"/>
        </w:rPr>
        <w:t xml:space="preserve"> recommendations stated that “</w:t>
      </w:r>
      <w:r w:rsidRPr="007660E9">
        <w:rPr>
          <w:i/>
          <w:lang w:val="en-US"/>
        </w:rPr>
        <w:t>An abnormal ANA should be the titre above the 95th percentile of a healthy control population</w:t>
      </w:r>
      <w:r>
        <w:rPr>
          <w:lang w:val="en-US"/>
        </w:rPr>
        <w:t>”</w:t>
      </w:r>
      <w:r w:rsidRPr="007660E9">
        <w:rPr>
          <w:lang w:val="en-US"/>
        </w:rPr>
        <w:t xml:space="preserve">. </w:t>
      </w:r>
      <w:r>
        <w:rPr>
          <w:lang w:val="en-US"/>
        </w:rPr>
        <w:t xml:space="preserve"> Both CLSI and EASI/IUIS recommend to determine the reference ranges locally </w:t>
      </w:r>
      <w:r>
        <w:rPr>
          <w:noProof/>
          <w:lang w:val="en-US"/>
        </w:rPr>
        <w:t>(8, 40, 41)</w:t>
      </w:r>
      <w:r>
        <w:rPr>
          <w:lang w:val="en-US"/>
        </w:rPr>
        <w:t>.  EASI/IUIS stated that “</w:t>
      </w:r>
      <w:r w:rsidRPr="00B9639A">
        <w:rPr>
          <w:i/>
          <w:lang w:val="en-US"/>
        </w:rPr>
        <w:t>a screening dilution of 1 : 160 on HEp-2(000) substrates is often suitable for ANA detection in adult</w:t>
      </w:r>
      <w:r>
        <w:rPr>
          <w:i/>
          <w:lang w:val="en-US"/>
        </w:rPr>
        <w:t>s</w:t>
      </w:r>
      <w:r>
        <w:rPr>
          <w:lang w:val="en-US"/>
        </w:rPr>
        <w:t xml:space="preserve">” </w:t>
      </w:r>
      <w:r>
        <w:rPr>
          <w:noProof/>
          <w:lang w:val="en-US"/>
        </w:rPr>
        <w:t>(8)</w:t>
      </w:r>
      <w:r>
        <w:rPr>
          <w:lang w:val="en-US"/>
        </w:rPr>
        <w:t xml:space="preserve">.  </w:t>
      </w:r>
      <w:r w:rsidRPr="00EA45DE">
        <w:rPr>
          <w:lang w:val="en-US"/>
        </w:rPr>
        <w:t>According to a recent survey of ICAP approximately 80% of laboratories use a 1:80 screening dilution</w:t>
      </w:r>
      <w:r>
        <w:rPr>
          <w:noProof/>
          <w:lang w:val="en-US"/>
        </w:rPr>
        <w:t>(39)</w:t>
      </w:r>
      <w:r w:rsidRPr="00EA45DE">
        <w:rPr>
          <w:lang w:val="en-US"/>
        </w:rPr>
        <w:t>.</w:t>
      </w:r>
    </w:p>
    <w:p w:rsidR="003D11BA" w:rsidRDefault="003D11BA" w:rsidP="00212E31">
      <w:pPr>
        <w:jc w:val="both"/>
        <w:rPr>
          <w:lang w:val="en-US"/>
        </w:rPr>
      </w:pPr>
      <w:r>
        <w:rPr>
          <w:lang w:val="en-US"/>
        </w:rPr>
        <w:t xml:space="preserve">Thus, the CLSI –EASI/IUIS recommendations suggest to determine the 95% specificity, either in healthy controls (EASI/IUIS) or in diseased controls </w:t>
      </w:r>
      <w:r>
        <w:rPr>
          <w:noProof/>
          <w:lang w:val="en-US"/>
        </w:rPr>
        <w:t>(40, 41)</w:t>
      </w:r>
      <w:r>
        <w:rPr>
          <w:lang w:val="en-US"/>
        </w:rPr>
        <w:t xml:space="preserve">.  A higher degree of positivity is expected to be found in diseased controls (who might have non-ANA-associated rheumatic disease inflammatory conditions) than in healthy controls.  Furthermore, CLSI stressed the importance of age (higher prevalence of ANA in elderly population &gt;65 years (18%) compared to the younger population (4%) </w:t>
      </w:r>
      <w:r>
        <w:rPr>
          <w:noProof/>
          <w:lang w:val="en-US"/>
        </w:rPr>
        <w:t>(42)</w:t>
      </w:r>
      <w:r>
        <w:rPr>
          <w:lang w:val="en-US"/>
        </w:rPr>
        <w:t xml:space="preserve">, of gender (a balance of men and women should be included in the reference population) and of the ANA pattern </w:t>
      </w:r>
      <w:r>
        <w:rPr>
          <w:noProof/>
          <w:lang w:val="en-US"/>
        </w:rPr>
        <w:t>(40, 42)</w:t>
      </w:r>
      <w:r>
        <w:rPr>
          <w:lang w:val="en-US"/>
        </w:rPr>
        <w:t xml:space="preserve">.  Moreover, CLSI also recognized that higher titers may denote a higher probability for a systemic rheumatic disease or of positive test results for antibodies to dsDNA or extractable nuclear antigens and it was suggested to define different levels of positive results </w:t>
      </w:r>
      <w:r>
        <w:rPr>
          <w:noProof/>
          <w:lang w:val="en-US"/>
        </w:rPr>
        <w:t>(41)</w:t>
      </w:r>
      <w:r>
        <w:rPr>
          <w:lang w:val="en-US"/>
        </w:rPr>
        <w:t xml:space="preserve">.  This is in line with the concept to define and report test result (interval)-specific likelihood ratios (see below) (1).  </w:t>
      </w:r>
    </w:p>
    <w:p w:rsidR="003D11BA" w:rsidRPr="0001466A" w:rsidRDefault="003D11BA" w:rsidP="00212E31">
      <w:pPr>
        <w:jc w:val="both"/>
        <w:rPr>
          <w:i/>
          <w:lang w:val="en-US"/>
        </w:rPr>
      </w:pPr>
      <w:r w:rsidRPr="0001466A">
        <w:rPr>
          <w:i/>
          <w:lang w:val="en-US"/>
        </w:rPr>
        <w:t xml:space="preserve">Recent </w:t>
      </w:r>
      <w:r>
        <w:rPr>
          <w:i/>
          <w:lang w:val="en-US"/>
        </w:rPr>
        <w:t>insights</w:t>
      </w:r>
    </w:p>
    <w:p w:rsidR="003D11BA" w:rsidRDefault="003D11BA" w:rsidP="00212E31">
      <w:pPr>
        <w:jc w:val="both"/>
        <w:rPr>
          <w:lang w:val="en-US"/>
        </w:rPr>
      </w:pPr>
      <w:r>
        <w:rPr>
          <w:lang w:val="en-US"/>
        </w:rPr>
        <w:t xml:space="preserve">ANA-associated rheumatic diseases are rare diseases.  The prevalence of SLE is estimated to be </w:t>
      </w:r>
      <w:r w:rsidRPr="009660C0">
        <w:rPr>
          <w:lang w:val="en-US"/>
        </w:rPr>
        <w:t>47/100000</w:t>
      </w:r>
      <w:r>
        <w:rPr>
          <w:lang w:val="en-US"/>
        </w:rPr>
        <w:t xml:space="preserve"> </w:t>
      </w:r>
      <w:r>
        <w:rPr>
          <w:noProof/>
          <w:lang w:val="en-US"/>
        </w:rPr>
        <w:t>(43)</w:t>
      </w:r>
      <w:r>
        <w:rPr>
          <w:lang w:val="en-US"/>
        </w:rPr>
        <w:t xml:space="preserve">, of IIM 14/100000 </w:t>
      </w:r>
      <w:r>
        <w:rPr>
          <w:noProof/>
          <w:lang w:val="en-US"/>
        </w:rPr>
        <w:t>(44)</w:t>
      </w:r>
      <w:r>
        <w:rPr>
          <w:lang w:val="en-US"/>
        </w:rPr>
        <w:t xml:space="preserve">, of SSc 30.7/100000 </w:t>
      </w:r>
      <w:r>
        <w:rPr>
          <w:noProof/>
          <w:lang w:val="en-US"/>
        </w:rPr>
        <w:t>(45)</w:t>
      </w:r>
      <w:r>
        <w:rPr>
          <w:lang w:val="en-US"/>
        </w:rPr>
        <w:t xml:space="preserve"> and of JIA 19.4/100000 (girls) / 11/100000 (boys) </w:t>
      </w:r>
      <w:r>
        <w:rPr>
          <w:noProof/>
          <w:lang w:val="en-US"/>
        </w:rPr>
        <w:t>(46)</w:t>
      </w:r>
      <w:r>
        <w:rPr>
          <w:lang w:val="en-US"/>
        </w:rPr>
        <w:t xml:space="preserve">.  Thus in the setting of a low pre-test probability many false positive ANA results are to be expected if a 95% specificity cutoff is applied (more false positive results than true positive results).  </w:t>
      </w:r>
    </w:p>
    <w:p w:rsidR="003D11BA" w:rsidRDefault="003D11BA" w:rsidP="00212E31">
      <w:pPr>
        <w:jc w:val="both"/>
        <w:rPr>
          <w:lang w:val="en-US"/>
        </w:rPr>
      </w:pPr>
      <w:r>
        <w:rPr>
          <w:lang w:val="en-US"/>
        </w:rPr>
        <w:lastRenderedPageBreak/>
        <w:t xml:space="preserve">There is no single HEp-2 IIF or screening SPA cutoff that is associated with both a high sensitivity and a high specificity, as reinforced by 2 recent meta-analyses </w:t>
      </w:r>
      <w:r>
        <w:rPr>
          <w:noProof/>
          <w:lang w:val="en-US"/>
        </w:rPr>
        <w:t>(10, 12)</w:t>
      </w:r>
      <w:r>
        <w:rPr>
          <w:lang w:val="en-US"/>
        </w:rPr>
        <w:t xml:space="preserve">.  A low cutoff value (e.g. 1:80) is associated with a high sensitivity but low specificity </w:t>
      </w:r>
      <w:r>
        <w:rPr>
          <w:noProof/>
          <w:lang w:val="en-US"/>
        </w:rPr>
        <w:t>(10, 12)</w:t>
      </w:r>
      <w:r>
        <w:rPr>
          <w:lang w:val="en-US"/>
        </w:rPr>
        <w:t xml:space="preserve">, whereas a high cutoff is associated with a higher specificity but a lower sensitivity.  Various studies have shown that the likelihood for ANA-associated rheumatic disease increases with increasing antibody titers (reviewed in </w:t>
      </w:r>
      <w:r>
        <w:rPr>
          <w:noProof/>
          <w:lang w:val="en-US"/>
        </w:rPr>
        <w:t>(1)</w:t>
      </w:r>
      <w:r>
        <w:rPr>
          <w:lang w:val="en-US"/>
        </w:rPr>
        <w:t xml:space="preserve">). This is found for manual HEp 2- IIF </w:t>
      </w:r>
      <w:r>
        <w:rPr>
          <w:noProof/>
          <w:lang w:val="en-US"/>
        </w:rPr>
        <w:t>(13, 14, 47, 48)</w:t>
      </w:r>
      <w:r>
        <w:rPr>
          <w:lang w:val="en-US"/>
        </w:rPr>
        <w:t xml:space="preserve"> as well as for automated IIF </w:t>
      </w:r>
      <w:r>
        <w:rPr>
          <w:noProof/>
          <w:lang w:val="en-US"/>
        </w:rPr>
        <w:t>(15, 16, 38)</w:t>
      </w:r>
      <w:r>
        <w:rPr>
          <w:lang w:val="en-US"/>
        </w:rPr>
        <w:t xml:space="preserve">.  For example, Op de Beeck </w:t>
      </w:r>
      <w:r w:rsidRPr="00AA09CA">
        <w:rPr>
          <w:i/>
          <w:lang w:val="en-US"/>
        </w:rPr>
        <w:t xml:space="preserve">et al. </w:t>
      </w:r>
      <w:r>
        <w:rPr>
          <w:noProof/>
          <w:lang w:val="en-US"/>
        </w:rPr>
        <w:t>(14)</w:t>
      </w:r>
      <w:r>
        <w:rPr>
          <w:lang w:val="en-US"/>
        </w:rPr>
        <w:t xml:space="preserve"> reported that the titer-specific LR for SLE was  </w:t>
      </w:r>
      <w:r w:rsidRPr="007A54AC">
        <w:rPr>
          <w:lang w:val="en-US"/>
        </w:rPr>
        <w:t>0.05</w:t>
      </w:r>
      <w:r>
        <w:rPr>
          <w:lang w:val="en-US"/>
        </w:rPr>
        <w:t xml:space="preserve">, </w:t>
      </w:r>
      <w:r w:rsidRPr="007A54AC">
        <w:rPr>
          <w:lang w:val="en-US"/>
        </w:rPr>
        <w:t>0.6</w:t>
      </w:r>
      <w:r>
        <w:rPr>
          <w:lang w:val="en-US"/>
        </w:rPr>
        <w:t xml:space="preserve">, </w:t>
      </w:r>
      <w:r w:rsidRPr="007A54AC">
        <w:rPr>
          <w:lang w:val="en-US"/>
        </w:rPr>
        <w:t>0.5</w:t>
      </w:r>
      <w:r>
        <w:rPr>
          <w:lang w:val="en-US"/>
        </w:rPr>
        <w:t xml:space="preserve">, </w:t>
      </w:r>
      <w:r w:rsidRPr="007A54AC">
        <w:rPr>
          <w:lang w:val="en-US"/>
        </w:rPr>
        <w:t>6</w:t>
      </w:r>
      <w:r>
        <w:rPr>
          <w:lang w:val="en-US"/>
        </w:rPr>
        <w:t xml:space="preserve">, </w:t>
      </w:r>
      <w:r w:rsidRPr="007A54AC">
        <w:rPr>
          <w:lang w:val="en-US"/>
        </w:rPr>
        <w:t>7</w:t>
      </w:r>
      <w:r>
        <w:rPr>
          <w:lang w:val="en-US"/>
        </w:rPr>
        <w:t xml:space="preserve">, </w:t>
      </w:r>
      <w:r w:rsidRPr="007A54AC">
        <w:rPr>
          <w:lang w:val="en-US"/>
        </w:rPr>
        <w:t>19</w:t>
      </w:r>
      <w:r>
        <w:rPr>
          <w:lang w:val="en-US"/>
        </w:rPr>
        <w:t xml:space="preserve">, </w:t>
      </w:r>
      <w:r w:rsidRPr="007A54AC">
        <w:rPr>
          <w:lang w:val="en-US"/>
        </w:rPr>
        <w:t>13.3</w:t>
      </w:r>
      <w:r>
        <w:rPr>
          <w:lang w:val="en-US"/>
        </w:rPr>
        <w:t xml:space="preserve">, </w:t>
      </w:r>
      <w:r w:rsidRPr="007A54AC">
        <w:rPr>
          <w:lang w:val="en-US"/>
        </w:rPr>
        <w:t>19</w:t>
      </w:r>
      <w:r>
        <w:rPr>
          <w:lang w:val="en-US"/>
        </w:rPr>
        <w:t xml:space="preserve"> for a negative results, 1:40, 1:80, 1:160, 1:320, 1:640, </w:t>
      </w:r>
      <w:r>
        <w:rPr>
          <w:rFonts w:cstheme="minorHAnsi"/>
          <w:lang w:val="en-US"/>
        </w:rPr>
        <w:t>≥</w:t>
      </w:r>
      <w:r>
        <w:rPr>
          <w:lang w:val="en-US"/>
        </w:rPr>
        <w:t>1:1280 and positivity on het SSA-transfected cells (HEp-2000)</w:t>
      </w:r>
      <w:r>
        <w:rPr>
          <w:noProof/>
          <w:lang w:val="en-US"/>
        </w:rPr>
        <w:t>(14)</w:t>
      </w:r>
      <w:r>
        <w:rPr>
          <w:lang w:val="en-US"/>
        </w:rPr>
        <w:t xml:space="preserve">.  These data not only show that the titer-specific LR increase with increasing antibody level, but also that a negative test result has a lower LR than a 1:40 or 1:80 test result.  The higher the antibody titer, the higher the likelihood ratio and PPV for a systemic rheumatic disease and this is partly pattern-dependent </w:t>
      </w:r>
      <w:r>
        <w:rPr>
          <w:noProof/>
          <w:lang w:val="en-US"/>
        </w:rPr>
        <w:t>(49)</w:t>
      </w:r>
      <w:r>
        <w:rPr>
          <w:lang w:val="en-US"/>
        </w:rPr>
        <w:t>.  Of note, the DFS pattern can be found at high titer and monospecific DFS70 is considered not to be associated with a systemic rheumatic disease</w:t>
      </w:r>
      <w:r>
        <w:rPr>
          <w:noProof/>
          <w:lang w:val="en-US"/>
        </w:rPr>
        <w:t>(50)</w:t>
      </w:r>
      <w:r>
        <w:rPr>
          <w:lang w:val="en-US"/>
        </w:rPr>
        <w:t xml:space="preserve">. </w:t>
      </w:r>
    </w:p>
    <w:p w:rsidR="003D11BA" w:rsidRDefault="003D11BA" w:rsidP="00212E31">
      <w:pPr>
        <w:jc w:val="both"/>
        <w:rPr>
          <w:lang w:val="en-US"/>
        </w:rPr>
      </w:pPr>
      <w:r>
        <w:rPr>
          <w:lang w:val="en-US"/>
        </w:rPr>
        <w:t xml:space="preserve">Thus, a dichotomous interpretation (positive versus negative) of ANA test results is an oversimplification as the information intrinsic in the antibody level is lost.  This can be  overcome by reporting titer-specific (or test result interval-specific) LR, which is an elegant way to convey clinically relevant information inherent to the test result </w:t>
      </w:r>
      <w:r>
        <w:rPr>
          <w:noProof/>
          <w:lang w:val="en-US"/>
        </w:rPr>
        <w:t>(51-53)</w:t>
      </w:r>
      <w:r>
        <w:rPr>
          <w:lang w:val="en-US"/>
        </w:rPr>
        <w:t xml:space="preserve">.  The LR is the fraction of the patients with a particular test result divided by the fraction of controls with such test result. We refer to a recent review for detailed background information on understanding and interpreting test result specific LR in ANA testing </w:t>
      </w:r>
      <w:r>
        <w:rPr>
          <w:noProof/>
          <w:lang w:val="en-US"/>
        </w:rPr>
        <w:t>(1)</w:t>
      </w:r>
      <w:r>
        <w:rPr>
          <w:lang w:val="en-US"/>
        </w:rPr>
        <w:t xml:space="preserve">.  </w:t>
      </w:r>
    </w:p>
    <w:p w:rsidR="003D11BA" w:rsidRPr="00AC53C3" w:rsidRDefault="003D11BA" w:rsidP="00212E31">
      <w:pPr>
        <w:rPr>
          <w:i/>
          <w:lang w:val="en-US"/>
        </w:rPr>
      </w:pPr>
      <w:r w:rsidRPr="00AC53C3">
        <w:rPr>
          <w:i/>
          <w:lang w:val="en-US"/>
        </w:rPr>
        <w:t>Recommendation</w:t>
      </w:r>
    </w:p>
    <w:p w:rsidR="003D11BA" w:rsidRPr="001F35AF" w:rsidRDefault="003D11BA" w:rsidP="00212E31">
      <w:pPr>
        <w:jc w:val="both"/>
        <w:rPr>
          <w:color w:val="808080" w:themeColor="background1" w:themeShade="80"/>
          <w:lang w:val="en-US"/>
        </w:rPr>
      </w:pPr>
      <w:r w:rsidRPr="001F35AF">
        <w:rPr>
          <w:color w:val="808080" w:themeColor="background1" w:themeShade="80"/>
          <w:lang w:val="en-US"/>
        </w:rPr>
        <w:t xml:space="preserve">Given the </w:t>
      </w:r>
      <w:r>
        <w:rPr>
          <w:color w:val="808080" w:themeColor="background1" w:themeShade="80"/>
          <w:lang w:val="en-US"/>
        </w:rPr>
        <w:t xml:space="preserve">(very) </w:t>
      </w:r>
      <w:r w:rsidRPr="001F35AF">
        <w:rPr>
          <w:color w:val="808080" w:themeColor="background1" w:themeShade="80"/>
          <w:lang w:val="en-US"/>
        </w:rPr>
        <w:t xml:space="preserve">low prevalence of </w:t>
      </w:r>
      <w:r>
        <w:rPr>
          <w:color w:val="808080" w:themeColor="background1" w:themeShade="80"/>
          <w:lang w:val="en-US"/>
        </w:rPr>
        <w:t>ANA-associated rheumatic diseases</w:t>
      </w:r>
      <w:r w:rsidRPr="001F35AF">
        <w:rPr>
          <w:color w:val="808080" w:themeColor="background1" w:themeShade="80"/>
          <w:lang w:val="en-US"/>
        </w:rPr>
        <w:t xml:space="preserve">, </w:t>
      </w:r>
      <w:r>
        <w:rPr>
          <w:color w:val="808080" w:themeColor="background1" w:themeShade="80"/>
          <w:lang w:val="en-US"/>
        </w:rPr>
        <w:t>a</w:t>
      </w:r>
      <w:r w:rsidRPr="001F35AF">
        <w:rPr>
          <w:color w:val="808080" w:themeColor="background1" w:themeShade="80"/>
          <w:lang w:val="en-US"/>
        </w:rPr>
        <w:t xml:space="preserve"> 95% specificity threshold </w:t>
      </w:r>
      <w:r>
        <w:rPr>
          <w:color w:val="808080" w:themeColor="background1" w:themeShade="80"/>
          <w:lang w:val="en-US"/>
        </w:rPr>
        <w:t xml:space="preserve">has limitations and a </w:t>
      </w:r>
      <w:r w:rsidRPr="001F35AF">
        <w:rPr>
          <w:color w:val="808080" w:themeColor="background1" w:themeShade="80"/>
          <w:lang w:val="en-US"/>
        </w:rPr>
        <w:t xml:space="preserve">97.5% and 99% specificity threshold </w:t>
      </w:r>
      <w:r>
        <w:rPr>
          <w:color w:val="808080" w:themeColor="background1" w:themeShade="80"/>
          <w:lang w:val="en-US"/>
        </w:rPr>
        <w:t>would be more relevant, especially in the context of a low pre-test probability</w:t>
      </w:r>
      <w:r w:rsidRPr="001F35AF">
        <w:rPr>
          <w:color w:val="808080" w:themeColor="background1" w:themeShade="80"/>
          <w:lang w:val="en-US"/>
        </w:rPr>
        <w:t>.</w:t>
      </w:r>
      <w:r>
        <w:rPr>
          <w:color w:val="808080" w:themeColor="background1" w:themeShade="80"/>
          <w:lang w:val="en-US"/>
        </w:rPr>
        <w:t xml:space="preserve">   </w:t>
      </w:r>
      <w:r w:rsidRPr="001F35AF">
        <w:rPr>
          <w:color w:val="808080" w:themeColor="background1" w:themeShade="80"/>
          <w:lang w:val="en-US"/>
        </w:rPr>
        <w:t xml:space="preserve">  </w:t>
      </w:r>
    </w:p>
    <w:p w:rsidR="003D11BA" w:rsidRPr="00132D67" w:rsidRDefault="003D11BA" w:rsidP="00212E31">
      <w:pPr>
        <w:jc w:val="both"/>
        <w:rPr>
          <w:color w:val="000000" w:themeColor="text1"/>
          <w:lang w:val="en-US"/>
        </w:rPr>
      </w:pPr>
      <w:r>
        <w:rPr>
          <w:lang w:val="en-US"/>
        </w:rPr>
        <w:t xml:space="preserve">In order to convey clinically relevant information inherent to the antibody level, we recommend to report the ANA titer and </w:t>
      </w:r>
      <w:r w:rsidRPr="00132D67">
        <w:rPr>
          <w:color w:val="000000" w:themeColor="text1"/>
          <w:lang w:val="en-US"/>
        </w:rPr>
        <w:t xml:space="preserve">to provide titer- or test (light intensity unit) result (interval)- specific likelihood ratios for ANA-associated rheumatic diseases.  </w:t>
      </w:r>
    </w:p>
    <w:p w:rsidR="003D11BA" w:rsidRDefault="003D11BA" w:rsidP="00212E31">
      <w:pPr>
        <w:jc w:val="both"/>
        <w:rPr>
          <w:lang w:val="en-US"/>
        </w:rPr>
      </w:pPr>
      <w:r w:rsidRPr="00132D67">
        <w:rPr>
          <w:color w:val="000000" w:themeColor="text1"/>
          <w:lang w:val="en-US"/>
        </w:rPr>
        <w:t xml:space="preserve">In order to determine these LRs, disease </w:t>
      </w:r>
      <w:r>
        <w:rPr>
          <w:lang w:val="en-US"/>
        </w:rPr>
        <w:t xml:space="preserve">controls and healthy controls (with the same age and gender distribution of the patients) should be used.  By preference this should be done in multicenter studies in collaboration with IVD manufacturers.  These titer-specific LRs can then be locally verified by the laboratory.  Including diseased controls is important in hospital settings.  </w:t>
      </w:r>
    </w:p>
    <w:p w:rsidR="003D11BA" w:rsidRDefault="003D11BA" w:rsidP="00212E31">
      <w:pPr>
        <w:jc w:val="both"/>
        <w:rPr>
          <w:lang w:val="en-US"/>
        </w:rPr>
      </w:pPr>
      <w:r>
        <w:rPr>
          <w:lang w:val="en-US"/>
        </w:rPr>
        <w:t xml:space="preserve">Over the last years, Food and Drug Administration (FDA)- and/or CE-approved HEp-2 IIF kits and automated, closed commercial IIF systems with associated reagents have been introduced.  Such commercial kits and systems have the potential to reduce the variation between laboratories that use instruments/reagents from the same manufacturer.  For an example of assigning test result specific LR for automated HEp-2 IIF, see </w:t>
      </w:r>
      <w:r>
        <w:rPr>
          <w:noProof/>
          <w:lang w:val="en-US"/>
        </w:rPr>
        <w:t>(38)</w:t>
      </w:r>
      <w:r>
        <w:rPr>
          <w:lang w:val="en-US"/>
        </w:rPr>
        <w:t xml:space="preserve">.     </w:t>
      </w:r>
    </w:p>
    <w:p w:rsidR="003D11BA" w:rsidRDefault="003D11BA" w:rsidP="00212E31">
      <w:pPr>
        <w:spacing w:line="240" w:lineRule="auto"/>
        <w:jc w:val="both"/>
        <w:rPr>
          <w:rFonts w:cstheme="minorHAnsi"/>
          <w:lang w:val="en-US"/>
        </w:rPr>
      </w:pPr>
    </w:p>
    <w:p w:rsidR="003D11BA" w:rsidRPr="00D57BD6"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jc w:val="both"/>
        <w:rPr>
          <w:rFonts w:cstheme="minorHAnsi"/>
          <w:lang w:val="en-US"/>
        </w:rPr>
      </w:pPr>
    </w:p>
    <w:p w:rsidR="003D11BA" w:rsidRPr="00132D67" w:rsidRDefault="003D11BA" w:rsidP="00212E31">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 xml:space="preserve">For most patterns, the likelihood for </w:t>
      </w:r>
      <w:r>
        <w:rPr>
          <w:rFonts w:cstheme="minorHAnsi"/>
          <w:lang w:val="en-US"/>
        </w:rPr>
        <w:t xml:space="preserve">a </w:t>
      </w:r>
      <w:r w:rsidRPr="00132D67">
        <w:rPr>
          <w:rFonts w:cstheme="minorHAnsi"/>
          <w:lang w:val="en-US"/>
        </w:rPr>
        <w:t>ANA-associated rheumatic disease increases with antibody titer</w:t>
      </w:r>
    </w:p>
    <w:p w:rsidR="003D11BA" w:rsidRPr="00132D67" w:rsidRDefault="003D11BA" w:rsidP="00212E31">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There is no single HEp-2 IIF titer that has good sensitivity and good specificity</w:t>
      </w:r>
    </w:p>
    <w:p w:rsidR="003D11BA" w:rsidRPr="002E5E37" w:rsidRDefault="003D11BA" w:rsidP="00212E31">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Pr>
          <w:lang w:val="en-US"/>
        </w:rPr>
        <w:t>Taking into account the antibody level helps to interpret ANA test results</w:t>
      </w:r>
      <w:r w:rsidRPr="002E5E37">
        <w:rPr>
          <w:lang w:val="en-US"/>
        </w:rPr>
        <w:t xml:space="preserve"> </w:t>
      </w:r>
    </w:p>
    <w:p w:rsidR="003D11BA" w:rsidRPr="005D1608" w:rsidRDefault="003D11BA" w:rsidP="00212E31">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Reporting titer-specific or test result-specific likelihood ratios for ANA-associated rheumatic disease improves clinical interpretation of HEp-2 IIF test results</w:t>
      </w:r>
    </w:p>
    <w:p w:rsidR="003D11BA" w:rsidRDefault="003D11BA" w:rsidP="00212E31">
      <w:pPr>
        <w:rPr>
          <w:b/>
          <w:lang w:val="en-US"/>
        </w:rPr>
      </w:pPr>
    </w:p>
    <w:p w:rsidR="003D11BA" w:rsidRPr="002E5E37" w:rsidRDefault="003D11BA" w:rsidP="00212E31">
      <w:pPr>
        <w:rPr>
          <w:b/>
          <w:lang w:val="en-US"/>
        </w:rPr>
      </w:pPr>
      <w:r>
        <w:rPr>
          <w:b/>
          <w:lang w:val="en-US"/>
        </w:rPr>
        <w:t>ANA titers in p</w:t>
      </w:r>
      <w:r w:rsidRPr="002E5E37">
        <w:rPr>
          <w:b/>
          <w:lang w:val="en-US"/>
        </w:rPr>
        <w:t>ediatric systemic rheumatic diseases</w:t>
      </w:r>
    </w:p>
    <w:p w:rsidR="003D11BA" w:rsidRPr="002E5E37" w:rsidRDefault="003D11BA" w:rsidP="00212E31">
      <w:pPr>
        <w:jc w:val="both"/>
        <w:rPr>
          <w:lang w:val="en-US"/>
        </w:rPr>
      </w:pPr>
      <w:r w:rsidRPr="002E5E37">
        <w:rPr>
          <w:lang w:val="en-US"/>
        </w:rPr>
        <w:t xml:space="preserve">Malleson </w:t>
      </w:r>
      <w:r w:rsidRPr="002E5E37">
        <w:rPr>
          <w:i/>
          <w:lang w:val="en-US"/>
        </w:rPr>
        <w:t>et al.</w:t>
      </w:r>
      <w:r w:rsidRPr="002E5E37">
        <w:rPr>
          <w:lang w:val="en-US"/>
        </w:rPr>
        <w:t xml:space="preserve"> </w:t>
      </w:r>
      <w:r>
        <w:rPr>
          <w:noProof/>
          <w:lang w:val="en-US"/>
        </w:rPr>
        <w:t>(54)</w:t>
      </w:r>
      <w:r w:rsidRPr="002E5E37">
        <w:rPr>
          <w:lang w:val="en-US"/>
        </w:rPr>
        <w:t xml:space="preserve"> reported that ANA at a screening dilution of 1:40 had a high sensitivity for pediatric SLE, MCTD or overlap syndromes, but a very low positive predictive value (0.10).  Thus a negative test result at 1:40 cutoff has a high negative predictive value but low titers occurred commonly in children without a systemic rheumatic disease.  The positive predictive value increased with increasing antibody levels and the authors suggested that a screening dilution of 1:160 or 1:320 would increase the utility.  Based on the data provided for girls in this study we calculated the titer-specific likelihood ratio (LR) to be 0.2, 0.93 and 2.7 for titer 1:80, 1:160 and 1:320.    </w:t>
      </w:r>
    </w:p>
    <w:p w:rsidR="003D11BA" w:rsidRPr="002E5E37" w:rsidRDefault="003D11BA" w:rsidP="00212E31">
      <w:pPr>
        <w:jc w:val="both"/>
        <w:rPr>
          <w:lang w:val="en-US"/>
        </w:rPr>
      </w:pPr>
      <w:r w:rsidRPr="002E5E37">
        <w:rPr>
          <w:lang w:val="en-US"/>
        </w:rPr>
        <w:t xml:space="preserve">In line with Malleson </w:t>
      </w:r>
      <w:r w:rsidRPr="002E5E37">
        <w:rPr>
          <w:i/>
          <w:lang w:val="en-US"/>
        </w:rPr>
        <w:t xml:space="preserve">et al. </w:t>
      </w:r>
      <w:r>
        <w:rPr>
          <w:noProof/>
          <w:lang w:val="en-US"/>
        </w:rPr>
        <w:t>(54)</w:t>
      </w:r>
      <w:r w:rsidRPr="002E5E37">
        <w:rPr>
          <w:lang w:val="en-US"/>
        </w:rPr>
        <w:t xml:space="preserve">, McGhee et al. </w:t>
      </w:r>
      <w:r>
        <w:rPr>
          <w:noProof/>
          <w:lang w:val="en-US"/>
        </w:rPr>
        <w:t>(55)</w:t>
      </w:r>
      <w:r w:rsidRPr="002E5E37">
        <w:rPr>
          <w:lang w:val="en-US"/>
        </w:rPr>
        <w:t xml:space="preserve"> reported that children with SLE have high ANA titers and that low ANA titers are common in children without chronic inflammatory disease.  </w:t>
      </w:r>
    </w:p>
    <w:p w:rsidR="003D11BA" w:rsidRPr="002E5E37" w:rsidRDefault="003D11BA" w:rsidP="00212E31">
      <w:pPr>
        <w:jc w:val="both"/>
        <w:rPr>
          <w:lang w:val="en-US"/>
        </w:rPr>
      </w:pPr>
      <w:r w:rsidRPr="002E5E37">
        <w:rPr>
          <w:lang w:val="en-US"/>
        </w:rPr>
        <w:t xml:space="preserve">Hilario </w:t>
      </w:r>
      <w:r w:rsidRPr="002E5E37">
        <w:rPr>
          <w:i/>
          <w:lang w:val="en-US"/>
        </w:rPr>
        <w:t>et al.</w:t>
      </w:r>
      <w:r w:rsidRPr="002E5E37">
        <w:rPr>
          <w:lang w:val="en-US"/>
        </w:rPr>
        <w:t xml:space="preserve"> </w:t>
      </w:r>
      <w:r>
        <w:rPr>
          <w:noProof/>
          <w:lang w:val="en-US"/>
        </w:rPr>
        <w:t>(33)</w:t>
      </w:r>
      <w:r w:rsidRPr="002E5E37">
        <w:rPr>
          <w:lang w:val="en-US"/>
        </w:rPr>
        <w:t xml:space="preserve"> reported that 12.7% of Brazilian healthy children and adolescents had positive ANAs.  The titers found in healthy children were lower than the ANA titers found in children with an autoimmune systemic rheumatic disease (28 SLE, 9 JDM and 8 SSc).  Based on the data presented by Hilario et al. </w:t>
      </w:r>
      <w:r>
        <w:rPr>
          <w:noProof/>
          <w:lang w:val="en-US"/>
        </w:rPr>
        <w:t>(33)</w:t>
      </w:r>
      <w:r w:rsidRPr="002E5E37">
        <w:rPr>
          <w:lang w:val="en-US"/>
        </w:rPr>
        <w:t xml:space="preserve"> we calculated the titer-specific LR for a systemic rheumatic disease to be 0.94, 2.7, 3.9, 9.4 and 52 for a titer of 1:80, 1:160, 1:320, 1:640 and </w:t>
      </w:r>
      <w:r w:rsidRPr="002E5E37">
        <w:rPr>
          <w:rFonts w:cstheme="minorHAnsi"/>
          <w:lang w:val="en-US"/>
        </w:rPr>
        <w:t>≥</w:t>
      </w:r>
      <w:r w:rsidRPr="002E5E37">
        <w:rPr>
          <w:lang w:val="en-US"/>
        </w:rPr>
        <w:t xml:space="preserve">1:1280 (with healthy children as controls). This illustrates that the LR for a systemic rheumatic disease in children increases with increasing antibody titer.  </w:t>
      </w:r>
      <w:r w:rsidRPr="003D11BA">
        <w:rPr>
          <w:lang w:val="en-US"/>
        </w:rPr>
        <w:t xml:space="preserve">Watanukul </w:t>
      </w:r>
      <w:r w:rsidRPr="003D11BA">
        <w:rPr>
          <w:i/>
          <w:lang w:val="en-US"/>
        </w:rPr>
        <w:t xml:space="preserve">et al. </w:t>
      </w:r>
      <w:r>
        <w:rPr>
          <w:noProof/>
          <w:lang w:val="en-US"/>
        </w:rPr>
        <w:t>(35)</w:t>
      </w:r>
      <w:r w:rsidRPr="003D11BA">
        <w:rPr>
          <w:lang w:val="en-US"/>
        </w:rPr>
        <w:t xml:space="preserve"> and Arroyava </w:t>
      </w:r>
      <w:r w:rsidRPr="003D11BA">
        <w:rPr>
          <w:i/>
          <w:lang w:val="en-US"/>
        </w:rPr>
        <w:t xml:space="preserve">et al. </w:t>
      </w:r>
      <w:r>
        <w:rPr>
          <w:noProof/>
          <w:lang w:val="en-US"/>
        </w:rPr>
        <w:t>(36)</w:t>
      </w:r>
      <w:r w:rsidRPr="002E5E37">
        <w:rPr>
          <w:lang w:val="en-US"/>
        </w:rPr>
        <w:t xml:space="preserve"> also reported that the ANA levels found in children with SLE were higher than the ANA levels in healthy children.  </w:t>
      </w:r>
    </w:p>
    <w:tbl>
      <w:tblPr>
        <w:tblStyle w:val="TableGrid"/>
        <w:tblW w:w="0" w:type="auto"/>
        <w:tblLook w:val="04A0" w:firstRow="1" w:lastRow="0" w:firstColumn="1" w:lastColumn="0" w:noHBand="0" w:noVBand="1"/>
      </w:tblPr>
      <w:tblGrid>
        <w:gridCol w:w="9060"/>
      </w:tblGrid>
      <w:tr w:rsidR="003D11BA" w:rsidRPr="00CA415F" w:rsidTr="00212E31">
        <w:tc>
          <w:tcPr>
            <w:tcW w:w="9060" w:type="dxa"/>
            <w:shd w:val="clear" w:color="auto" w:fill="F2F2F2" w:themeFill="background1" w:themeFillShade="F2"/>
          </w:tcPr>
          <w:p w:rsidR="003D11BA" w:rsidRDefault="003D11BA" w:rsidP="00212E31">
            <w:pPr>
              <w:rPr>
                <w:lang w:val="en-US"/>
              </w:rPr>
            </w:pPr>
          </w:p>
          <w:p w:rsidR="003D11BA" w:rsidRPr="00AC53C3" w:rsidRDefault="003D11BA" w:rsidP="00212E31">
            <w:pPr>
              <w:rPr>
                <w:lang w:val="en-US"/>
              </w:rPr>
            </w:pPr>
            <w:r>
              <w:rPr>
                <w:lang w:val="en-US"/>
              </w:rPr>
              <w:t xml:space="preserve">There is no evidence that in children with ANA-associated rheumatic disease lower thresholds should be applied.  </w:t>
            </w:r>
            <w:r w:rsidRPr="00AC53C3">
              <w:rPr>
                <w:color w:val="A6A6A6" w:themeColor="background1" w:themeShade="A6"/>
                <w:lang w:val="en-US"/>
              </w:rPr>
              <w:t xml:space="preserve">    </w:t>
            </w:r>
          </w:p>
          <w:p w:rsidR="003D11BA" w:rsidRDefault="003D11BA" w:rsidP="00212E31">
            <w:pPr>
              <w:rPr>
                <w:lang w:val="en-US"/>
              </w:rPr>
            </w:pPr>
          </w:p>
        </w:tc>
      </w:tr>
    </w:tbl>
    <w:p w:rsidR="003D11BA" w:rsidRPr="005D1608" w:rsidRDefault="003D11BA" w:rsidP="00212E31">
      <w:pPr>
        <w:pStyle w:val="ListParagraph"/>
        <w:rPr>
          <w:lang w:val="en-US"/>
        </w:rPr>
      </w:pPr>
    </w:p>
    <w:p w:rsidR="003D11BA" w:rsidRPr="002A11A8" w:rsidRDefault="003D11BA" w:rsidP="00212E31">
      <w:pPr>
        <w:rPr>
          <w:b/>
          <w:lang w:val="en-US"/>
        </w:rPr>
      </w:pPr>
      <w:r w:rsidRPr="002A11A8">
        <w:rPr>
          <w:b/>
          <w:lang w:val="en-US"/>
        </w:rPr>
        <w:t xml:space="preserve">Pattern </w:t>
      </w:r>
    </w:p>
    <w:p w:rsidR="003D11BA" w:rsidRPr="00131D6B" w:rsidRDefault="003D11BA" w:rsidP="00212E31">
      <w:pPr>
        <w:rPr>
          <w:i/>
          <w:lang w:val="en-US"/>
        </w:rPr>
      </w:pPr>
      <w:r>
        <w:rPr>
          <w:i/>
          <w:lang w:val="en-US"/>
        </w:rPr>
        <w:t xml:space="preserve">Recent insights (advancements) and </w:t>
      </w:r>
      <w:r w:rsidRPr="00131D6B">
        <w:rPr>
          <w:i/>
          <w:lang w:val="en-US"/>
        </w:rPr>
        <w:t>recommendations</w:t>
      </w:r>
    </w:p>
    <w:p w:rsidR="003D11BA" w:rsidRPr="00132D67" w:rsidRDefault="003D11BA" w:rsidP="00212E31">
      <w:pPr>
        <w:jc w:val="both"/>
        <w:rPr>
          <w:color w:val="000000" w:themeColor="text1"/>
          <w:lang w:val="en-US"/>
        </w:rPr>
      </w:pPr>
      <w:r>
        <w:rPr>
          <w:lang w:val="en-US"/>
        </w:rPr>
        <w:t>The most recent and comprehensive effort to define and describe HEp-2 IIF patterns has been done by the ‘</w:t>
      </w:r>
      <w:r w:rsidRPr="00132D67">
        <w:rPr>
          <w:color w:val="000000" w:themeColor="text1"/>
          <w:lang w:val="en-US"/>
        </w:rPr>
        <w:t xml:space="preserve">International Consensus on ANA patterns’ (ICAP) </w:t>
      </w:r>
      <w:r>
        <w:rPr>
          <w:noProof/>
          <w:color w:val="000000" w:themeColor="text1"/>
          <w:lang w:val="en-US"/>
        </w:rPr>
        <w:t>(56, 57)</w:t>
      </w:r>
      <w:r w:rsidRPr="00132D67">
        <w:rPr>
          <w:color w:val="000000" w:themeColor="text1"/>
          <w:lang w:val="en-US"/>
        </w:rPr>
        <w:t xml:space="preserve">.  This consensus is a good basis for pattern description.  National guidelines might adapt the ICAP consensus to their local situation, as has been done for example in Brasil </w:t>
      </w:r>
      <w:r>
        <w:rPr>
          <w:noProof/>
          <w:color w:val="000000" w:themeColor="text1"/>
          <w:lang w:val="en-US"/>
        </w:rPr>
        <w:t>(58)</w:t>
      </w:r>
      <w:r w:rsidRPr="00132D67">
        <w:rPr>
          <w:color w:val="000000" w:themeColor="text1"/>
          <w:lang w:val="en-US"/>
        </w:rPr>
        <w:t xml:space="preserve">.    </w:t>
      </w:r>
    </w:p>
    <w:p w:rsidR="003D11BA" w:rsidRPr="00132D67" w:rsidRDefault="003D11BA" w:rsidP="00212E31">
      <w:pPr>
        <w:jc w:val="both"/>
        <w:rPr>
          <w:color w:val="000000" w:themeColor="text1"/>
          <w:lang w:val="en-US"/>
        </w:rPr>
      </w:pPr>
      <w:r w:rsidRPr="00132D67">
        <w:rPr>
          <w:color w:val="000000" w:themeColor="text1"/>
          <w:lang w:val="en-US"/>
        </w:rPr>
        <w:t>For an overview of the HEp-2 IIF patterns and the associated antigens, we refer to ICAP (</w:t>
      </w:r>
      <w:r>
        <w:rPr>
          <w:noProof/>
          <w:color w:val="000000" w:themeColor="text1"/>
          <w:lang w:val="en-US"/>
        </w:rPr>
        <w:t>(57)</w:t>
      </w:r>
      <w:r>
        <w:rPr>
          <w:color w:val="000000" w:themeColor="text1"/>
          <w:lang w:val="en-US"/>
        </w:rPr>
        <w:t xml:space="preserve">,  see </w:t>
      </w:r>
      <w:r w:rsidRPr="00A50311">
        <w:rPr>
          <w:lang w:val="en-US"/>
        </w:rPr>
        <w:t>https://www.anapatterns.org/</w:t>
      </w:r>
      <w:r w:rsidRPr="00132D67">
        <w:rPr>
          <w:color w:val="000000" w:themeColor="text1"/>
          <w:lang w:val="en-US"/>
        </w:rPr>
        <w:t xml:space="preserve">) and Bossuyt </w:t>
      </w:r>
      <w:r w:rsidRPr="00D57BD6">
        <w:rPr>
          <w:i/>
          <w:color w:val="000000" w:themeColor="text1"/>
          <w:lang w:val="en-US"/>
        </w:rPr>
        <w:t>et al.</w:t>
      </w:r>
      <w:r w:rsidRPr="00132D67">
        <w:rPr>
          <w:color w:val="000000" w:themeColor="text1"/>
          <w:lang w:val="en-US"/>
        </w:rPr>
        <w:t xml:space="preserve"> </w:t>
      </w:r>
      <w:r>
        <w:rPr>
          <w:noProof/>
          <w:color w:val="000000" w:themeColor="text1"/>
          <w:lang w:val="en-US"/>
        </w:rPr>
        <w:t>(1)</w:t>
      </w:r>
      <w:r w:rsidRPr="00132D67">
        <w:rPr>
          <w:color w:val="000000" w:themeColor="text1"/>
          <w:lang w:val="en-US"/>
        </w:rPr>
        <w:t>.  Except for the centromere pattern, a HEp-2 pattern cannot be used to deduct the specificity of the antibody.  On the other hand, the pattern can suggest follow-up testing for specific antibodies</w:t>
      </w:r>
      <w:r>
        <w:rPr>
          <w:color w:val="000000" w:themeColor="text1"/>
          <w:lang w:val="en-US"/>
        </w:rPr>
        <w:t xml:space="preserve"> </w:t>
      </w:r>
      <w:r>
        <w:rPr>
          <w:noProof/>
          <w:color w:val="000000" w:themeColor="text1"/>
          <w:lang w:val="en-US"/>
        </w:rPr>
        <w:t>(1, 57)</w:t>
      </w:r>
      <w:r w:rsidRPr="00132D67">
        <w:rPr>
          <w:color w:val="000000" w:themeColor="text1"/>
          <w:lang w:val="en-US"/>
        </w:rPr>
        <w:t>.  Also, it is helpful to verify whether the patterns observed on HEp-2 IIF correspond to (fit with) the identified specific antibody.  Cytoplasmic patterns are important and should be reported</w:t>
      </w:r>
      <w:r>
        <w:rPr>
          <w:color w:val="000000" w:themeColor="text1"/>
          <w:lang w:val="en-US"/>
        </w:rPr>
        <w:t xml:space="preserve"> </w:t>
      </w:r>
      <w:r>
        <w:rPr>
          <w:noProof/>
          <w:color w:val="000000" w:themeColor="text1"/>
          <w:lang w:val="en-US"/>
        </w:rPr>
        <w:t>(1, 40, 57)</w:t>
      </w:r>
      <w:r w:rsidRPr="00132D67">
        <w:rPr>
          <w:color w:val="000000" w:themeColor="text1"/>
          <w:lang w:val="en-US"/>
        </w:rPr>
        <w:t>.</w:t>
      </w:r>
    </w:p>
    <w:p w:rsidR="003D11BA" w:rsidRPr="00132D67" w:rsidRDefault="003D11BA" w:rsidP="00212E31">
      <w:pPr>
        <w:jc w:val="both"/>
        <w:rPr>
          <w:color w:val="000000" w:themeColor="text1"/>
          <w:lang w:val="en-US"/>
        </w:rPr>
      </w:pPr>
      <w:r w:rsidRPr="00132D67">
        <w:rPr>
          <w:color w:val="000000" w:themeColor="text1"/>
          <w:lang w:val="en-US"/>
        </w:rPr>
        <w:t>In a recent large international survey on reporting and interpreting anti-nuclear antibody IIF patterns, the centromere and homogeneous pattern obtained the highest scores (followed by the speckled and nucleolar pattern) for clinical relevance of the nuclear competent patterns and the DFS pattern the lowest. Of the cytoplasmic patterns, the reticular/mitochondria-like pattern obtained the highest scores for clinical relevance and the polar/Golgi-like and rods and rings patterns the lowest</w:t>
      </w:r>
      <w:r>
        <w:rPr>
          <w:color w:val="000000" w:themeColor="text1"/>
          <w:lang w:val="en-US"/>
        </w:rPr>
        <w:t xml:space="preserve"> </w:t>
      </w:r>
      <w:r>
        <w:rPr>
          <w:noProof/>
          <w:color w:val="000000" w:themeColor="text1"/>
          <w:lang w:val="en-US"/>
        </w:rPr>
        <w:t>(59)</w:t>
      </w:r>
      <w:r w:rsidRPr="00132D67">
        <w:rPr>
          <w:color w:val="000000" w:themeColor="text1"/>
          <w:lang w:val="en-US"/>
        </w:rPr>
        <w:t xml:space="preserve">.  The low score for anti-Golgi antibodies corresponds to the limited clinical association of anti-Golgi antibodies with ANA-associated rheumatic disease </w:t>
      </w:r>
      <w:r>
        <w:rPr>
          <w:noProof/>
          <w:color w:val="000000" w:themeColor="text1"/>
          <w:lang w:val="en-US"/>
        </w:rPr>
        <w:t>(60, 61)</w:t>
      </w:r>
      <w:r w:rsidRPr="00132D67">
        <w:rPr>
          <w:color w:val="000000" w:themeColor="text1"/>
          <w:lang w:val="en-US"/>
        </w:rPr>
        <w:t xml:space="preserve">.  Anti-rods and rings are not revealed by all </w:t>
      </w:r>
      <w:r w:rsidRPr="00132D67">
        <w:rPr>
          <w:color w:val="000000" w:themeColor="text1"/>
          <w:lang w:val="en-US"/>
        </w:rPr>
        <w:lastRenderedPageBreak/>
        <w:t>HEp-2 substrates and are associated with Hepatitis C virus infection under treatment with α-interferon and ribavirin</w:t>
      </w:r>
      <w:r>
        <w:rPr>
          <w:noProof/>
          <w:color w:val="000000" w:themeColor="text1"/>
          <w:lang w:val="en-US"/>
        </w:rPr>
        <w:t>(57)</w:t>
      </w:r>
      <w:r w:rsidRPr="00132D67">
        <w:rPr>
          <w:color w:val="000000" w:themeColor="text1"/>
          <w:lang w:val="en-US"/>
        </w:rPr>
        <w:t xml:space="preserve">.  Of the rare ANAs, anti-multiple nuclear dots (at higher titers) and anti-nuclear envelope autoantibodies were found to have the highest clinical association in a large retrospective study </w:t>
      </w:r>
      <w:r>
        <w:rPr>
          <w:noProof/>
          <w:color w:val="000000" w:themeColor="text1"/>
          <w:lang w:val="en-US"/>
        </w:rPr>
        <w:t>(61)</w:t>
      </w:r>
      <w:r w:rsidRPr="00132D67">
        <w:rPr>
          <w:color w:val="000000" w:themeColor="text1"/>
          <w:lang w:val="en-US"/>
        </w:rPr>
        <w:t xml:space="preserve">.  </w:t>
      </w:r>
      <w:r>
        <w:rPr>
          <w:lang w:val="en-US"/>
        </w:rPr>
        <w:t xml:space="preserve">A recent multicentre observational study from Spain found that detection of infrequent ANA patterns with no specific antibodies might lead to the suspicion of an autoimmune disorder </w:t>
      </w:r>
      <w:r>
        <w:rPr>
          <w:noProof/>
          <w:lang w:val="en-US"/>
        </w:rPr>
        <w:t>(62)</w:t>
      </w:r>
      <w:r>
        <w:rPr>
          <w:lang w:val="en-US"/>
        </w:rPr>
        <w:t>.</w:t>
      </w:r>
      <w:r w:rsidRPr="0086029E">
        <w:rPr>
          <w:color w:val="000000" w:themeColor="text1"/>
          <w:lang w:val="en-US"/>
        </w:rPr>
        <w:t xml:space="preserve"> </w:t>
      </w:r>
      <w:r w:rsidRPr="00132D67">
        <w:rPr>
          <w:color w:val="000000" w:themeColor="text1"/>
          <w:lang w:val="en-US"/>
        </w:rPr>
        <w:t xml:space="preserve">PCNA antibodies were initially described to be highly specific for SLE, but these antibodies are rare and have also been found in other diseases </w:t>
      </w:r>
      <w:r>
        <w:rPr>
          <w:noProof/>
          <w:color w:val="000000" w:themeColor="text1"/>
          <w:lang w:val="en-US"/>
        </w:rPr>
        <w:t>(63)</w:t>
      </w:r>
      <w:r w:rsidRPr="00132D67">
        <w:rPr>
          <w:color w:val="000000" w:themeColor="text1"/>
          <w:lang w:val="en-US"/>
        </w:rPr>
        <w:t xml:space="preserve">.  The pattern is not revealed by all HEp-2 substrates </w:t>
      </w:r>
      <w:r>
        <w:rPr>
          <w:noProof/>
          <w:color w:val="000000" w:themeColor="text1"/>
          <w:lang w:val="en-US"/>
        </w:rPr>
        <w:t>(64)</w:t>
      </w:r>
      <w:r w:rsidRPr="00211B2F">
        <w:rPr>
          <w:color w:val="000000" w:themeColor="text1"/>
          <w:lang w:val="en-US"/>
        </w:rPr>
        <w:t>.</w:t>
      </w:r>
      <w:r w:rsidRPr="00132D67">
        <w:rPr>
          <w:color w:val="000000" w:themeColor="text1"/>
          <w:lang w:val="en-US"/>
        </w:rPr>
        <w:t xml:space="preserve">  </w:t>
      </w:r>
    </w:p>
    <w:p w:rsidR="003D11BA" w:rsidRPr="00132D67" w:rsidRDefault="003D11BA" w:rsidP="00212E31">
      <w:pPr>
        <w:jc w:val="both"/>
        <w:rPr>
          <w:color w:val="000000" w:themeColor="text1"/>
          <w:lang w:val="en-US"/>
        </w:rPr>
      </w:pPr>
    </w:p>
    <w:p w:rsidR="003D11BA" w:rsidRDefault="003D11BA" w:rsidP="00212E31">
      <w:pPr>
        <w:rPr>
          <w:lang w:val="en-US"/>
        </w:rPr>
      </w:pPr>
      <w:r w:rsidRPr="00132D67">
        <w:rPr>
          <w:color w:val="000000" w:themeColor="text1"/>
          <w:lang w:val="en-US"/>
        </w:rPr>
        <w:t>Important HEp-2 IIF patterns with the highest potential clinical relevance (and thus that should be minimally reported) for ANA-associated rheumatic disease</w:t>
      </w:r>
      <w:r>
        <w:rPr>
          <w:lang w:val="en-US"/>
        </w:rPr>
        <w:t xml:space="preserve">, AIH and PBC include:   </w:t>
      </w:r>
    </w:p>
    <w:p w:rsidR="003D11BA" w:rsidRDefault="003D11BA" w:rsidP="00212E31">
      <w:pPr>
        <w:pStyle w:val="ListParagraph"/>
        <w:numPr>
          <w:ilvl w:val="0"/>
          <w:numId w:val="15"/>
        </w:numPr>
        <w:rPr>
          <w:lang w:val="en-US"/>
        </w:rPr>
      </w:pPr>
      <w:r>
        <w:rPr>
          <w:lang w:val="en-US"/>
        </w:rPr>
        <w:t>ANA-associated rheumatic disease</w:t>
      </w:r>
      <w:r w:rsidRPr="00E65258">
        <w:rPr>
          <w:lang w:val="en-US"/>
        </w:rPr>
        <w:t xml:space="preserve">: </w:t>
      </w:r>
    </w:p>
    <w:p w:rsidR="003D11BA" w:rsidRDefault="003D11BA" w:rsidP="00212E31">
      <w:pPr>
        <w:pStyle w:val="ListParagraph"/>
        <w:numPr>
          <w:ilvl w:val="1"/>
          <w:numId w:val="15"/>
        </w:numPr>
        <w:rPr>
          <w:lang w:val="en-US"/>
        </w:rPr>
      </w:pPr>
      <w:r w:rsidRPr="00E65258">
        <w:rPr>
          <w:lang w:val="en-US"/>
        </w:rPr>
        <w:t>nuclear centromere, homogeneous, (fine</w:t>
      </w:r>
      <w:r>
        <w:rPr>
          <w:lang w:val="en-US"/>
        </w:rPr>
        <w:t xml:space="preserve">, </w:t>
      </w:r>
      <w:r w:rsidRPr="00E65258">
        <w:rPr>
          <w:lang w:val="en-US"/>
        </w:rPr>
        <w:t xml:space="preserve">large/coarse) speckled, nucleolar, multiple nuclear dots, </w:t>
      </w:r>
      <w:r>
        <w:rPr>
          <w:lang w:val="en-US"/>
        </w:rPr>
        <w:t>smooth nuclear envelope</w:t>
      </w:r>
    </w:p>
    <w:p w:rsidR="003D11BA" w:rsidRPr="00E65258" w:rsidRDefault="003D11BA" w:rsidP="00212E31">
      <w:pPr>
        <w:pStyle w:val="ListParagraph"/>
        <w:numPr>
          <w:ilvl w:val="1"/>
          <w:numId w:val="15"/>
        </w:numPr>
        <w:rPr>
          <w:lang w:val="en-US"/>
        </w:rPr>
      </w:pPr>
      <w:r w:rsidRPr="00E65258">
        <w:rPr>
          <w:lang w:val="en-US"/>
        </w:rPr>
        <w:t>cytoplasmic (dense) fine speckled</w:t>
      </w:r>
    </w:p>
    <w:p w:rsidR="003D11BA" w:rsidRDefault="003D11BA" w:rsidP="00212E31">
      <w:pPr>
        <w:pStyle w:val="ListParagraph"/>
        <w:numPr>
          <w:ilvl w:val="0"/>
          <w:numId w:val="15"/>
        </w:numPr>
        <w:rPr>
          <w:lang w:val="en-US"/>
        </w:rPr>
      </w:pPr>
      <w:r w:rsidRPr="00E65258">
        <w:rPr>
          <w:lang w:val="en-US"/>
        </w:rPr>
        <w:t xml:space="preserve">PBC: </w:t>
      </w:r>
    </w:p>
    <w:p w:rsidR="003D11BA" w:rsidRDefault="003D11BA" w:rsidP="00212E31">
      <w:pPr>
        <w:pStyle w:val="ListParagraph"/>
        <w:numPr>
          <w:ilvl w:val="1"/>
          <w:numId w:val="15"/>
        </w:numPr>
        <w:rPr>
          <w:lang w:val="en-US"/>
        </w:rPr>
      </w:pPr>
      <w:r w:rsidRPr="00E65258">
        <w:rPr>
          <w:lang w:val="en-US"/>
        </w:rPr>
        <w:t>multiple nuclear dots, punctate nuclear membrane</w:t>
      </w:r>
    </w:p>
    <w:p w:rsidR="003D11BA" w:rsidRPr="00E65258" w:rsidRDefault="003D11BA" w:rsidP="00212E31">
      <w:pPr>
        <w:pStyle w:val="ListParagraph"/>
        <w:numPr>
          <w:ilvl w:val="1"/>
          <w:numId w:val="15"/>
        </w:numPr>
        <w:rPr>
          <w:lang w:val="en-US"/>
        </w:rPr>
      </w:pPr>
      <w:r>
        <w:rPr>
          <w:lang w:val="en-US"/>
        </w:rPr>
        <w:t>c</w:t>
      </w:r>
      <w:r w:rsidRPr="00E65258">
        <w:rPr>
          <w:lang w:val="en-US"/>
        </w:rPr>
        <w:t>ytoplasmic reticular (mitochondrial like)</w:t>
      </w:r>
    </w:p>
    <w:p w:rsidR="003D11BA" w:rsidRDefault="003D11BA" w:rsidP="00212E31">
      <w:pPr>
        <w:pStyle w:val="ListParagraph"/>
        <w:numPr>
          <w:ilvl w:val="0"/>
          <w:numId w:val="15"/>
        </w:numPr>
        <w:rPr>
          <w:lang w:val="en-US"/>
        </w:rPr>
      </w:pPr>
      <w:r w:rsidRPr="00E65258">
        <w:rPr>
          <w:lang w:val="en-US"/>
        </w:rPr>
        <w:t xml:space="preserve">AIH: </w:t>
      </w:r>
    </w:p>
    <w:p w:rsidR="003D11BA" w:rsidRDefault="003D11BA" w:rsidP="00212E31">
      <w:pPr>
        <w:pStyle w:val="ListParagraph"/>
        <w:numPr>
          <w:ilvl w:val="1"/>
          <w:numId w:val="15"/>
        </w:numPr>
        <w:rPr>
          <w:lang w:val="en-US"/>
        </w:rPr>
      </w:pPr>
      <w:r w:rsidRPr="00E65258">
        <w:rPr>
          <w:lang w:val="en-US"/>
        </w:rPr>
        <w:t>nuclear homogeneous</w:t>
      </w:r>
      <w:r>
        <w:rPr>
          <w:lang w:val="en-US"/>
        </w:rPr>
        <w:t>, speckled, nucleolar</w:t>
      </w:r>
    </w:p>
    <w:p w:rsidR="003D11BA" w:rsidRPr="00211B2F" w:rsidRDefault="003D11BA" w:rsidP="00212E31">
      <w:pPr>
        <w:pStyle w:val="ListParagraph"/>
        <w:numPr>
          <w:ilvl w:val="1"/>
          <w:numId w:val="15"/>
        </w:numPr>
        <w:rPr>
          <w:lang w:val="en-US"/>
        </w:rPr>
      </w:pPr>
      <w:r w:rsidRPr="00E65258">
        <w:rPr>
          <w:lang w:val="en-US"/>
        </w:rPr>
        <w:t xml:space="preserve">cytoplasmic (linear) </w:t>
      </w:r>
      <w:r>
        <w:rPr>
          <w:lang w:val="en-US"/>
        </w:rPr>
        <w:t>fibrillary</w:t>
      </w:r>
    </w:p>
    <w:p w:rsidR="003D11BA" w:rsidRPr="00132D67" w:rsidRDefault="003D11BA" w:rsidP="00212E31">
      <w:pPr>
        <w:jc w:val="both"/>
        <w:rPr>
          <w:color w:val="000000" w:themeColor="text1"/>
          <w:lang w:val="en-US"/>
        </w:rPr>
      </w:pPr>
      <w:r w:rsidRPr="00132D67">
        <w:rPr>
          <w:color w:val="000000" w:themeColor="text1"/>
          <w:lang w:val="en-US"/>
        </w:rPr>
        <w:t xml:space="preserve">Recognizing the DFS pattern on HEp-2 cells is difficult </w:t>
      </w:r>
      <w:r>
        <w:rPr>
          <w:noProof/>
          <w:color w:val="000000" w:themeColor="text1"/>
          <w:lang w:val="en-US"/>
        </w:rPr>
        <w:t>(65)</w:t>
      </w:r>
      <w:r w:rsidRPr="00132D67">
        <w:rPr>
          <w:color w:val="000000" w:themeColor="text1"/>
          <w:lang w:val="en-US"/>
        </w:rPr>
        <w:t xml:space="preserve">.  An international internet-based survey corroborated that recognition of the DFS70 pattern is challenging </w:t>
      </w:r>
      <w:r>
        <w:rPr>
          <w:noProof/>
          <w:color w:val="000000" w:themeColor="text1"/>
          <w:lang w:val="en-US"/>
        </w:rPr>
        <w:t>(66)</w:t>
      </w:r>
      <w:r w:rsidRPr="00132D67">
        <w:rPr>
          <w:color w:val="000000" w:themeColor="text1"/>
          <w:lang w:val="en-US"/>
        </w:rPr>
        <w:t xml:space="preserve"> and concluded that the presence of anti-DFS70 antibodies should be confirmed by a specific immunoassay before definitive results are reported to the clinician </w:t>
      </w:r>
      <w:r>
        <w:rPr>
          <w:noProof/>
          <w:color w:val="000000" w:themeColor="text1"/>
          <w:lang w:val="en-US"/>
        </w:rPr>
        <w:t>(66)</w:t>
      </w:r>
      <w:r w:rsidRPr="00132D67">
        <w:rPr>
          <w:color w:val="000000" w:themeColor="text1"/>
          <w:lang w:val="en-US"/>
        </w:rPr>
        <w:t>.  It should be noted that differences between commercial assays for anti-DFS70 exist</w:t>
      </w:r>
      <w:r>
        <w:rPr>
          <w:color w:val="000000" w:themeColor="text1"/>
          <w:lang w:val="en-US"/>
        </w:rPr>
        <w:t xml:space="preserve"> </w:t>
      </w:r>
      <w:r>
        <w:rPr>
          <w:noProof/>
          <w:color w:val="000000" w:themeColor="text1"/>
          <w:lang w:val="en-US"/>
        </w:rPr>
        <w:t>(67)</w:t>
      </w:r>
      <w:r w:rsidRPr="00132D67">
        <w:rPr>
          <w:color w:val="000000" w:themeColor="text1"/>
          <w:lang w:val="en-US"/>
        </w:rPr>
        <w:t>.</w:t>
      </w:r>
      <w:r>
        <w:rPr>
          <w:color w:val="000000" w:themeColor="text1"/>
          <w:lang w:val="en-US"/>
        </w:rPr>
        <w:t xml:space="preserve"> </w:t>
      </w:r>
      <w:r w:rsidRPr="0040522B">
        <w:rPr>
          <w:color w:val="000000" w:themeColor="text1"/>
          <w:lang w:val="en-US"/>
        </w:rPr>
        <w:t xml:space="preserve">The prevalence of monospecific DFS70 antibodies </w:t>
      </w:r>
      <w:r>
        <w:rPr>
          <w:color w:val="000000" w:themeColor="text1"/>
          <w:lang w:val="en-US"/>
        </w:rPr>
        <w:t xml:space="preserve">in healthy subjects </w:t>
      </w:r>
      <w:r w:rsidRPr="0040522B">
        <w:rPr>
          <w:color w:val="000000" w:themeColor="text1"/>
          <w:lang w:val="en-US"/>
        </w:rPr>
        <w:t xml:space="preserve">ranges from 1 to 8% of healthy </w:t>
      </w:r>
      <w:r>
        <w:rPr>
          <w:color w:val="000000" w:themeColor="text1"/>
          <w:lang w:val="en-US"/>
        </w:rPr>
        <w:t xml:space="preserve">(mainly in </w:t>
      </w:r>
      <w:r w:rsidRPr="0040522B">
        <w:rPr>
          <w:color w:val="000000" w:themeColor="text1"/>
          <w:lang w:val="en-US"/>
        </w:rPr>
        <w:t>females</w:t>
      </w:r>
      <w:r>
        <w:rPr>
          <w:color w:val="000000" w:themeColor="text1"/>
          <w:lang w:val="en-US"/>
        </w:rPr>
        <w:t>)</w:t>
      </w:r>
      <w:r w:rsidRPr="0040522B">
        <w:rPr>
          <w:color w:val="000000" w:themeColor="text1"/>
          <w:lang w:val="en-US"/>
        </w:rPr>
        <w:t xml:space="preserve"> </w:t>
      </w:r>
      <w:r>
        <w:rPr>
          <w:noProof/>
          <w:color w:val="000000" w:themeColor="text1"/>
          <w:lang w:val="en-US"/>
        </w:rPr>
        <w:t>(68)</w:t>
      </w:r>
      <w:r>
        <w:rPr>
          <w:color w:val="000000" w:themeColor="text1"/>
          <w:lang w:val="en-US"/>
        </w:rPr>
        <w:t>.</w:t>
      </w:r>
    </w:p>
    <w:p w:rsidR="003D11BA" w:rsidRPr="00132D67" w:rsidRDefault="003D11BA" w:rsidP="00212E31">
      <w:pPr>
        <w:jc w:val="both"/>
        <w:rPr>
          <w:color w:val="000000" w:themeColor="text1"/>
          <w:lang w:val="en-US"/>
        </w:rPr>
      </w:pPr>
      <w:r w:rsidRPr="00132D67">
        <w:rPr>
          <w:color w:val="000000" w:themeColor="text1"/>
          <w:lang w:val="en-US"/>
        </w:rPr>
        <w:t xml:space="preserve">ICAP recently defined the Topo-I-like pattern associated with anti-DNA topoisomerase I antibodies </w:t>
      </w:r>
      <w:r>
        <w:rPr>
          <w:noProof/>
          <w:color w:val="000000" w:themeColor="text1"/>
          <w:lang w:val="en-US"/>
        </w:rPr>
        <w:t>(69)</w:t>
      </w:r>
      <w:r w:rsidRPr="00132D67">
        <w:rPr>
          <w:color w:val="000000" w:themeColor="text1"/>
          <w:lang w:val="en-US"/>
        </w:rPr>
        <w:t xml:space="preserve">.  The pattern is new for many laboratories and additional studies are needed to document the value of this pattern for  guiding follow-up testing for anti-topoisomerase I antibodies.  </w:t>
      </w:r>
    </w:p>
    <w:p w:rsidR="003D11BA" w:rsidRDefault="003D11BA" w:rsidP="00212E31">
      <w:pPr>
        <w:rPr>
          <w:lang w:val="en-US"/>
        </w:rPr>
      </w:pPr>
      <w:r w:rsidRPr="00132D67">
        <w:rPr>
          <w:color w:val="000000" w:themeColor="text1"/>
          <w:lang w:val="en-US"/>
        </w:rPr>
        <w:t xml:space="preserve">Taken together, ANA patterns should be </w:t>
      </w:r>
      <w:r>
        <w:rPr>
          <w:lang w:val="en-US"/>
        </w:rPr>
        <w:t xml:space="preserve">interpreted in combination with the antibody titer and the results of the specific antibodies.  Some patterns have a higher clinical relevance than others.  </w:t>
      </w:r>
    </w:p>
    <w:p w:rsidR="003D11BA" w:rsidRPr="00211B2F" w:rsidRDefault="003D11BA" w:rsidP="00212E31">
      <w:pPr>
        <w:jc w:val="both"/>
        <w:rPr>
          <w:lang w:val="en-US"/>
        </w:rPr>
      </w:pPr>
    </w:p>
    <w:p w:rsidR="003D11BA" w:rsidRPr="00211B2F"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ind w:left="360"/>
        <w:jc w:val="both"/>
        <w:rPr>
          <w:rFonts w:cstheme="minorHAnsi"/>
          <w:lang w:val="en-US"/>
        </w:rPr>
      </w:pPr>
    </w:p>
    <w:p w:rsidR="003D11BA" w:rsidRDefault="003D11BA" w:rsidP="00212E31">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HEp-2 IIF pattern provides useful information</w:t>
      </w:r>
      <w:r>
        <w:rPr>
          <w:rFonts w:cstheme="minorHAnsi"/>
          <w:lang w:val="en-US"/>
        </w:rPr>
        <w:t xml:space="preserve"> in terms of clinical relevance and guidance for follow-up tests</w:t>
      </w:r>
    </w:p>
    <w:p w:rsidR="003D11BA" w:rsidRPr="00132D67" w:rsidRDefault="003D11BA" w:rsidP="00212E31">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The clinical relevance of the HEp-2 IIF pattern is pattern-dependent</w:t>
      </w:r>
    </w:p>
    <w:p w:rsidR="003D11BA" w:rsidRPr="00132D67" w:rsidRDefault="003D11BA" w:rsidP="00212E31">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Correlating the HEp-2 IIF pattern with the specific antibodies adds value</w:t>
      </w:r>
    </w:p>
    <w:p w:rsidR="003D11BA" w:rsidRDefault="003D11BA" w:rsidP="00212E31">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cstheme="minorHAnsi"/>
          <w:lang w:val="en-US"/>
        </w:rPr>
      </w:pPr>
      <w:r w:rsidRPr="00132D67">
        <w:rPr>
          <w:rFonts w:cstheme="minorHAnsi"/>
          <w:lang w:val="en-US"/>
        </w:rPr>
        <w:t>The main ANA patterns (with the highest clinical relevance) comprise nuclear centromere, homogeneous, speckled, nucleolar, multiple nuclear dots, nuclear envelope and cytoplasmic reticular, (dense) fine speckled, fibrillary</w:t>
      </w:r>
      <w:r>
        <w:rPr>
          <w:rFonts w:cstheme="minorHAnsi"/>
          <w:lang w:val="en-US"/>
        </w:rPr>
        <w:t>.</w:t>
      </w:r>
      <w:r w:rsidRPr="00132D67">
        <w:rPr>
          <w:rFonts w:cstheme="minorHAnsi"/>
          <w:lang w:val="en-US"/>
        </w:rPr>
        <w:t xml:space="preserve">  </w:t>
      </w:r>
    </w:p>
    <w:p w:rsidR="003D11BA" w:rsidRDefault="003D11BA" w:rsidP="00212E31">
      <w:pPr>
        <w:rPr>
          <w:rFonts w:cstheme="minorHAnsi"/>
          <w:sz w:val="18"/>
          <w:szCs w:val="18"/>
          <w:lang w:val="en-US"/>
        </w:rPr>
      </w:pPr>
    </w:p>
    <w:p w:rsidR="003D11BA" w:rsidRPr="007043B2" w:rsidRDefault="003D11BA" w:rsidP="00212E31">
      <w:pPr>
        <w:rPr>
          <w:rFonts w:cstheme="minorHAnsi"/>
          <w:sz w:val="18"/>
          <w:szCs w:val="18"/>
          <w:lang w:val="en-US"/>
        </w:rPr>
      </w:pPr>
    </w:p>
    <w:p w:rsidR="003D11BA" w:rsidRPr="00DE2D1A" w:rsidRDefault="003D11BA" w:rsidP="00212E31">
      <w:pPr>
        <w:spacing w:after="0" w:line="240" w:lineRule="auto"/>
        <w:rPr>
          <w:b/>
          <w:smallCaps/>
          <w:lang w:val="en-CA"/>
        </w:rPr>
      </w:pPr>
      <w:r w:rsidRPr="00DE2D1A">
        <w:rPr>
          <w:b/>
          <w:smallCaps/>
          <w:lang w:val="en-CA"/>
        </w:rPr>
        <w:t>ANA by HEp2 IIF: methodology</w:t>
      </w:r>
    </w:p>
    <w:p w:rsidR="003D11BA" w:rsidRPr="00DE2D1A" w:rsidRDefault="003D11BA" w:rsidP="00212E31">
      <w:pPr>
        <w:spacing w:after="120" w:line="240" w:lineRule="auto"/>
        <w:rPr>
          <w:b/>
          <w:color w:val="000000" w:themeColor="text1"/>
          <w:lang w:val="en-US"/>
        </w:rPr>
      </w:pPr>
    </w:p>
    <w:p w:rsidR="003D11BA" w:rsidRPr="00302787" w:rsidRDefault="003D11BA" w:rsidP="00212E31">
      <w:pPr>
        <w:spacing w:after="120" w:line="240" w:lineRule="auto"/>
        <w:rPr>
          <w:b/>
          <w:color w:val="000000" w:themeColor="text1"/>
          <w:lang w:val="en-US"/>
        </w:rPr>
      </w:pPr>
      <w:r w:rsidRPr="00302787">
        <w:rPr>
          <w:b/>
          <w:color w:val="000000" w:themeColor="text1"/>
          <w:lang w:val="en-US"/>
        </w:rPr>
        <w:t>Substrate: HEp-2 versus HEp-2000</w:t>
      </w:r>
    </w:p>
    <w:p w:rsidR="003D11BA" w:rsidRPr="008E3B41" w:rsidRDefault="003D11BA" w:rsidP="00212E31">
      <w:pPr>
        <w:spacing w:before="240" w:line="240" w:lineRule="auto"/>
        <w:jc w:val="both"/>
        <w:rPr>
          <w:rFonts w:cstheme="minorHAnsi"/>
          <w:sz w:val="18"/>
          <w:szCs w:val="18"/>
          <w:lang w:val="en-US"/>
        </w:rPr>
      </w:pPr>
      <w:r w:rsidRPr="00DA75D5">
        <w:rPr>
          <w:lang w:val="en-CA"/>
        </w:rPr>
        <w:t>It is important to maximize the chances of identifying anti-SS-A/Ro60, as this autoantibody is associated with Sjögren’s syndrome, cutaneous lupus erythematosus, congenital heart block</w:t>
      </w:r>
      <w:r>
        <w:rPr>
          <w:lang w:val="en-CA"/>
        </w:rPr>
        <w:t xml:space="preserve">, </w:t>
      </w:r>
      <w:r w:rsidRPr="00DA75D5">
        <w:rPr>
          <w:lang w:val="en-CA"/>
        </w:rPr>
        <w:t xml:space="preserve">neonatal lupus </w:t>
      </w:r>
      <w:r>
        <w:rPr>
          <w:lang w:val="en-CA"/>
        </w:rPr>
        <w:t xml:space="preserve">and systemic lupus erythematosus </w:t>
      </w:r>
      <w:r>
        <w:rPr>
          <w:noProof/>
          <w:lang w:val="en-CA"/>
        </w:rPr>
        <w:t>(70-72)</w:t>
      </w:r>
      <w:r w:rsidRPr="00285006">
        <w:rPr>
          <w:i/>
          <w:sz w:val="16"/>
          <w:szCs w:val="16"/>
          <w:lang w:val="en-CA"/>
        </w:rPr>
        <w:t>.</w:t>
      </w:r>
      <w:r w:rsidRPr="00DA75D5">
        <w:rPr>
          <w:lang w:val="en-CA"/>
        </w:rPr>
        <w:t xml:space="preserve"> However, the use of HEp-2 IIF to detect SS-A/Ro antibodies is limited by a lack </w:t>
      </w:r>
      <w:r>
        <w:rPr>
          <w:lang w:val="en-CA"/>
        </w:rPr>
        <w:t xml:space="preserve">of </w:t>
      </w:r>
      <w:r w:rsidRPr="00DA75D5">
        <w:rPr>
          <w:lang w:val="en-CA"/>
        </w:rPr>
        <w:t xml:space="preserve">sensitivity due to the low abundance of the SS-A/Ro antigen and diffusion of the antigen from the nucleus during fixation and subsequent sample preparation </w:t>
      </w:r>
      <w:r>
        <w:rPr>
          <w:noProof/>
          <w:lang w:val="en-CA"/>
        </w:rPr>
        <w:t>(73)</w:t>
      </w:r>
      <w:r w:rsidRPr="00285006">
        <w:rPr>
          <w:sz w:val="16"/>
          <w:szCs w:val="16"/>
          <w:lang w:val="en-CA"/>
        </w:rPr>
        <w:t>.</w:t>
      </w:r>
      <w:r w:rsidRPr="00DA75D5">
        <w:rPr>
          <w:lang w:val="en-CA"/>
        </w:rPr>
        <w:t xml:space="preserve"> I</w:t>
      </w:r>
      <w:r w:rsidRPr="000C7781">
        <w:rPr>
          <w:lang w:val="en-CA"/>
        </w:rPr>
        <w:t>n this context</w:t>
      </w:r>
      <w:r>
        <w:rPr>
          <w:lang w:val="en-CA"/>
        </w:rPr>
        <w:t>, t</w:t>
      </w:r>
      <w:r w:rsidRPr="0032624B">
        <w:rPr>
          <w:lang w:val="en-CA"/>
        </w:rPr>
        <w:t>he HEp-2000</w:t>
      </w:r>
      <w:r>
        <w:rPr>
          <w:lang w:val="en-CA"/>
        </w:rPr>
        <w:t xml:space="preserve"> </w:t>
      </w:r>
      <w:r w:rsidRPr="0004592B">
        <w:rPr>
          <w:lang w:val="en-CA"/>
        </w:rPr>
        <w:t>substrate</w:t>
      </w:r>
      <w:r>
        <w:rPr>
          <w:lang w:val="en-CA"/>
        </w:rPr>
        <w:t xml:space="preserve">, </w:t>
      </w:r>
      <w:r w:rsidRPr="0004592B">
        <w:rPr>
          <w:lang w:val="en-CA"/>
        </w:rPr>
        <w:t>a modified HEp-2 sub</w:t>
      </w:r>
      <w:r>
        <w:rPr>
          <w:lang w:val="en-CA"/>
        </w:rPr>
        <w:t>strate</w:t>
      </w:r>
      <w:r w:rsidRPr="0032624B">
        <w:rPr>
          <w:lang w:val="en-CA"/>
        </w:rPr>
        <w:t xml:space="preserve"> transfected with</w:t>
      </w:r>
      <w:r>
        <w:rPr>
          <w:lang w:val="en-CA"/>
        </w:rPr>
        <w:t xml:space="preserve"> </w:t>
      </w:r>
      <w:r w:rsidRPr="0004592B">
        <w:rPr>
          <w:lang w:val="en-CA"/>
        </w:rPr>
        <w:t>Ro60 cDNA</w:t>
      </w:r>
      <w:r>
        <w:rPr>
          <w:lang w:val="en-CA"/>
        </w:rPr>
        <w:t xml:space="preserve"> was developed </w:t>
      </w:r>
      <w:r w:rsidRPr="000C7781">
        <w:rPr>
          <w:lang w:val="en-CA"/>
        </w:rPr>
        <w:t>(Immunoconcepts, Sacramento, California, USA)</w:t>
      </w:r>
      <w:r>
        <w:rPr>
          <w:lang w:val="en-CA"/>
        </w:rPr>
        <w:t xml:space="preserve"> </w:t>
      </w:r>
      <w:r>
        <w:rPr>
          <w:noProof/>
          <w:lang w:val="en-CA"/>
        </w:rPr>
        <w:t>(41)</w:t>
      </w:r>
      <w:r w:rsidRPr="00285006">
        <w:rPr>
          <w:sz w:val="16"/>
          <w:szCs w:val="16"/>
          <w:lang w:val="en-CA"/>
        </w:rPr>
        <w:t>.</w:t>
      </w:r>
      <w:r>
        <w:rPr>
          <w:lang w:val="en-CA"/>
        </w:rPr>
        <w:t xml:space="preserve"> The overexpression of Ro60 antigen results in an anti-SSA-characteristic </w:t>
      </w:r>
      <w:r w:rsidRPr="00DA75D5">
        <w:rPr>
          <w:lang w:val="en-CA"/>
        </w:rPr>
        <w:t>bright speckled pattern with nucleolar staining in 10-20% of interphase</w:t>
      </w:r>
      <w:r>
        <w:rPr>
          <w:lang w:val="en-CA"/>
        </w:rPr>
        <w:t xml:space="preserve"> cells (sometimes referred to as ‘atypical speckled’) </w:t>
      </w:r>
      <w:r>
        <w:rPr>
          <w:noProof/>
          <w:lang w:val="en-CA"/>
        </w:rPr>
        <w:t>(71, 74)</w:t>
      </w:r>
      <w:r w:rsidRPr="00285006">
        <w:rPr>
          <w:rFonts w:cstheme="minorHAnsi"/>
          <w:sz w:val="18"/>
          <w:szCs w:val="18"/>
          <w:lang w:val="en-US"/>
        </w:rPr>
        <w:t>.</w:t>
      </w:r>
      <w:r w:rsidRPr="00285006">
        <w:rPr>
          <w:rFonts w:cstheme="minorHAnsi"/>
          <w:i/>
          <w:sz w:val="18"/>
          <w:szCs w:val="18"/>
          <w:lang w:val="en-US"/>
        </w:rPr>
        <w:t xml:space="preserve"> </w:t>
      </w:r>
      <w:r>
        <w:rPr>
          <w:rFonts w:cstheme="minorHAnsi"/>
          <w:sz w:val="18"/>
          <w:szCs w:val="18"/>
          <w:lang w:val="en-US"/>
        </w:rPr>
        <w:t xml:space="preserve"> </w:t>
      </w:r>
      <w:r w:rsidRPr="006C4806">
        <w:rPr>
          <w:rFonts w:cstheme="minorHAnsi"/>
          <w:lang w:val="en-US"/>
        </w:rPr>
        <w:t xml:space="preserve">This </w:t>
      </w:r>
      <w:r>
        <w:rPr>
          <w:rFonts w:cstheme="minorHAnsi"/>
          <w:lang w:val="en-US"/>
        </w:rPr>
        <w:t>distinctive</w:t>
      </w:r>
      <w:r w:rsidRPr="006C4806">
        <w:rPr>
          <w:rFonts w:cstheme="minorHAnsi"/>
          <w:lang w:val="en-US"/>
        </w:rPr>
        <w:t xml:space="preserve"> pattern</w:t>
      </w:r>
      <w:r>
        <w:rPr>
          <w:rFonts w:cstheme="minorHAnsi"/>
          <w:sz w:val="18"/>
          <w:szCs w:val="18"/>
          <w:lang w:val="en-US"/>
        </w:rPr>
        <w:t xml:space="preserve"> </w:t>
      </w:r>
      <w:r>
        <w:rPr>
          <w:lang w:val="en-CA"/>
        </w:rPr>
        <w:t xml:space="preserve">was shown to be highly specific and, hence, allows for direct identification of SSA antibodies </w:t>
      </w:r>
      <w:r>
        <w:rPr>
          <w:noProof/>
          <w:lang w:val="en-CA"/>
        </w:rPr>
        <w:t>(73, 75-77)</w:t>
      </w:r>
      <w:r w:rsidRPr="00285006">
        <w:rPr>
          <w:rFonts w:cstheme="minorHAnsi"/>
          <w:sz w:val="18"/>
          <w:szCs w:val="18"/>
          <w:lang w:val="en-US"/>
        </w:rPr>
        <w:t>.</w:t>
      </w:r>
      <w:r w:rsidRPr="00285006">
        <w:rPr>
          <w:i/>
          <w:lang w:val="en-CA"/>
        </w:rPr>
        <w:t xml:space="preserve"> </w:t>
      </w:r>
      <w:r>
        <w:rPr>
          <w:lang w:val="en-CA"/>
        </w:rPr>
        <w:t>A</w:t>
      </w:r>
      <w:r w:rsidRPr="003632BB">
        <w:rPr>
          <w:lang w:val="en-CA"/>
        </w:rPr>
        <w:t xml:space="preserve">ssociations between distinctive SSA pattern </w:t>
      </w:r>
      <w:r>
        <w:rPr>
          <w:lang w:val="en-CA"/>
        </w:rPr>
        <w:t xml:space="preserve">in the presence or absence of other staining patterns </w:t>
      </w:r>
      <w:r w:rsidRPr="003632BB">
        <w:rPr>
          <w:lang w:val="en-CA"/>
        </w:rPr>
        <w:t xml:space="preserve">on HEp-2000 and some clinical conditions </w:t>
      </w:r>
      <w:r>
        <w:rPr>
          <w:lang w:val="en-CA"/>
        </w:rPr>
        <w:t xml:space="preserve">have been proposed </w:t>
      </w:r>
      <w:r>
        <w:rPr>
          <w:noProof/>
          <w:lang w:val="en-CA"/>
        </w:rPr>
        <w:t>(78)</w:t>
      </w:r>
      <w:r>
        <w:rPr>
          <w:lang w:val="en-CA"/>
        </w:rPr>
        <w:t xml:space="preserve">.  High sensitivity (88%) of the HEp-2000 substrate for detecting SSA positivity as defined by conventional reference techniques (such as double immunodiffusion and </w:t>
      </w:r>
      <w:r w:rsidRPr="004D54E9">
        <w:rPr>
          <w:lang w:val="en-CA"/>
        </w:rPr>
        <w:t xml:space="preserve">counter </w:t>
      </w:r>
      <w:r>
        <w:rPr>
          <w:lang w:val="en-CA"/>
        </w:rPr>
        <w:t xml:space="preserve">immune </w:t>
      </w:r>
      <w:r w:rsidRPr="004D54E9">
        <w:rPr>
          <w:lang w:val="en-CA"/>
        </w:rPr>
        <w:t>electrophoresis)</w:t>
      </w:r>
      <w:r w:rsidRPr="00307C1A">
        <w:rPr>
          <w:lang w:val="en-CA"/>
        </w:rPr>
        <w:t xml:space="preserve"> </w:t>
      </w:r>
      <w:r>
        <w:rPr>
          <w:lang w:val="en-CA"/>
        </w:rPr>
        <w:t>was observed</w:t>
      </w:r>
      <w:r w:rsidRPr="00307C1A">
        <w:rPr>
          <w:lang w:val="en-CA"/>
        </w:rPr>
        <w:t xml:space="preserve"> </w:t>
      </w:r>
      <w:r>
        <w:rPr>
          <w:lang w:val="en-CA"/>
        </w:rPr>
        <w:t xml:space="preserve">in two studies </w:t>
      </w:r>
      <w:r>
        <w:rPr>
          <w:noProof/>
          <w:lang w:val="en-CA"/>
        </w:rPr>
        <w:t>(75, 76)</w:t>
      </w:r>
      <w:r w:rsidRPr="004D54E9">
        <w:rPr>
          <w:rFonts w:cstheme="minorHAnsi"/>
          <w:sz w:val="18"/>
          <w:szCs w:val="18"/>
          <w:lang w:val="en-US"/>
        </w:rPr>
        <w:t>.</w:t>
      </w:r>
      <w:r>
        <w:rPr>
          <w:lang w:val="en-CA"/>
        </w:rPr>
        <w:t xml:space="preserve"> </w:t>
      </w:r>
      <w:r w:rsidRPr="00821606">
        <w:rPr>
          <w:lang w:val="en-CA"/>
        </w:rPr>
        <w:t xml:space="preserve">However, it </w:t>
      </w:r>
      <w:r>
        <w:rPr>
          <w:lang w:val="en-CA"/>
        </w:rPr>
        <w:t xml:space="preserve">should be mentioned that the HEP-2000 substrate </w:t>
      </w:r>
      <w:r w:rsidRPr="00821606">
        <w:rPr>
          <w:lang w:val="en-CA"/>
        </w:rPr>
        <w:t xml:space="preserve">is </w:t>
      </w:r>
      <w:r>
        <w:rPr>
          <w:lang w:val="en-CA"/>
        </w:rPr>
        <w:t xml:space="preserve">still </w:t>
      </w:r>
      <w:r w:rsidRPr="00821606">
        <w:rPr>
          <w:lang w:val="en-CA"/>
        </w:rPr>
        <w:t>not a</w:t>
      </w:r>
      <w:r>
        <w:rPr>
          <w:lang w:val="en-CA"/>
        </w:rPr>
        <w:t xml:space="preserve"> perfect screen as it</w:t>
      </w:r>
      <w:r w:rsidRPr="00821606">
        <w:rPr>
          <w:lang w:val="en-CA"/>
        </w:rPr>
        <w:t xml:space="preserve"> may </w:t>
      </w:r>
      <w:r>
        <w:rPr>
          <w:lang w:val="en-CA"/>
        </w:rPr>
        <w:t xml:space="preserve">fail to </w:t>
      </w:r>
      <w:r w:rsidRPr="00821606">
        <w:rPr>
          <w:lang w:val="en-CA"/>
        </w:rPr>
        <w:t xml:space="preserve">detect anti-SS-A/Ro60 </w:t>
      </w:r>
      <w:r>
        <w:rPr>
          <w:lang w:val="en-CA"/>
        </w:rPr>
        <w:t xml:space="preserve">antibodies in some </w:t>
      </w:r>
      <w:r w:rsidRPr="00821606">
        <w:rPr>
          <w:lang w:val="en-CA"/>
        </w:rPr>
        <w:t>sera</w:t>
      </w:r>
      <w:r>
        <w:rPr>
          <w:lang w:val="en-CA"/>
        </w:rPr>
        <w:t xml:space="preserve"> </w:t>
      </w:r>
      <w:r>
        <w:rPr>
          <w:noProof/>
          <w:lang w:val="en-CA"/>
        </w:rPr>
        <w:t>(75, 76, 79, 80)</w:t>
      </w:r>
      <w:r>
        <w:rPr>
          <w:rFonts w:cstheme="minorHAnsi"/>
          <w:sz w:val="18"/>
          <w:szCs w:val="18"/>
          <w:lang w:val="en-CA"/>
        </w:rPr>
        <w:t>.</w:t>
      </w:r>
      <w:r w:rsidRPr="004D54E9">
        <w:rPr>
          <w:rFonts w:cstheme="minorHAnsi"/>
          <w:sz w:val="18"/>
          <w:szCs w:val="18"/>
          <w:lang w:val="en-US"/>
        </w:rPr>
        <w:t xml:space="preserve"> </w:t>
      </w:r>
    </w:p>
    <w:p w:rsidR="003D11BA" w:rsidRPr="00267CE6" w:rsidRDefault="003D11BA" w:rsidP="00212E31">
      <w:pPr>
        <w:spacing w:before="240" w:line="240" w:lineRule="auto"/>
        <w:jc w:val="both"/>
        <w:rPr>
          <w:lang w:val="en-CA"/>
        </w:rPr>
      </w:pPr>
      <w:r>
        <w:rPr>
          <w:lang w:val="en-CA"/>
        </w:rPr>
        <w:t xml:space="preserve">Results on the direct comparison between HEp-2 and HEp-2000 are conflicting, and probably also obfuscated by differences </w:t>
      </w:r>
      <w:r w:rsidRPr="00FE624D">
        <w:rPr>
          <w:lang w:val="en-US"/>
        </w:rPr>
        <w:t>in conjugate sp</w:t>
      </w:r>
      <w:r>
        <w:rPr>
          <w:lang w:val="en-US"/>
        </w:rPr>
        <w:t>ecificity (IgG-specific or not) between kits</w:t>
      </w:r>
      <w:r>
        <w:rPr>
          <w:lang w:val="en-CA"/>
        </w:rPr>
        <w:t xml:space="preserve">. In one study, the HEp-2000 substrate was able to detect SSA antibodies in 4% of HEp-2 IIF negative samples </w:t>
      </w:r>
      <w:r>
        <w:rPr>
          <w:noProof/>
          <w:lang w:val="en-CA"/>
        </w:rPr>
        <w:t>(81)</w:t>
      </w:r>
      <w:r w:rsidRPr="007C68C9">
        <w:rPr>
          <w:sz w:val="18"/>
          <w:szCs w:val="18"/>
          <w:lang w:val="en-CA"/>
        </w:rPr>
        <w:t>.</w:t>
      </w:r>
      <w:r>
        <w:rPr>
          <w:sz w:val="18"/>
          <w:szCs w:val="18"/>
          <w:lang w:val="en-CA"/>
        </w:rPr>
        <w:t xml:space="preserve"> </w:t>
      </w:r>
      <w:r w:rsidRPr="007C68C9">
        <w:rPr>
          <w:lang w:val="en-US"/>
        </w:rPr>
        <w:t xml:space="preserve">In </w:t>
      </w:r>
      <w:r>
        <w:rPr>
          <w:lang w:val="en-US"/>
        </w:rPr>
        <w:t xml:space="preserve">a study comparing HEp-2000 with 4 commercially available conventional HEp-2 assays, the HEp-2000 substrate was significantly more sensitive compared to all 4 HEp-2 assays for detecting samples with isolated </w:t>
      </w:r>
      <w:r w:rsidRPr="007C68C9">
        <w:rPr>
          <w:lang w:val="en-US"/>
        </w:rPr>
        <w:t xml:space="preserve">SSA </w:t>
      </w:r>
      <w:r>
        <w:rPr>
          <w:lang w:val="en-US"/>
        </w:rPr>
        <w:t xml:space="preserve">(blot-confirmed)(HEp-2000 sensitivity ranged from 24%-91%) </w:t>
      </w:r>
      <w:r>
        <w:rPr>
          <w:noProof/>
          <w:lang w:val="en-US"/>
        </w:rPr>
        <w:t>(78)</w:t>
      </w:r>
      <w:r>
        <w:rPr>
          <w:lang w:val="en-US"/>
        </w:rPr>
        <w:t>.</w:t>
      </w:r>
      <w:r w:rsidRPr="00FE624D">
        <w:rPr>
          <w:lang w:val="en-US"/>
        </w:rPr>
        <w:t xml:space="preserve"> </w:t>
      </w:r>
      <w:r w:rsidRPr="008F7B17">
        <w:rPr>
          <w:lang w:val="en-US"/>
        </w:rPr>
        <w:t xml:space="preserve">Comparable sensitivity </w:t>
      </w:r>
      <w:r>
        <w:rPr>
          <w:lang w:val="en-US"/>
        </w:rPr>
        <w:t xml:space="preserve">between HEp-2000 and HEp-2 for SSA antibody detection </w:t>
      </w:r>
      <w:r w:rsidRPr="008F7B17">
        <w:rPr>
          <w:lang w:val="en-US"/>
        </w:rPr>
        <w:t xml:space="preserve">(72% [CI 68-76%] </w:t>
      </w:r>
      <w:r>
        <w:rPr>
          <w:lang w:val="en-US"/>
        </w:rPr>
        <w:t>for</w:t>
      </w:r>
      <w:r w:rsidRPr="008F7B17">
        <w:rPr>
          <w:lang w:val="en-US"/>
        </w:rPr>
        <w:t xml:space="preserve"> HEp-2 </w:t>
      </w:r>
      <w:r>
        <w:rPr>
          <w:lang w:val="en-US"/>
        </w:rPr>
        <w:t xml:space="preserve">versus </w:t>
      </w:r>
      <w:r w:rsidRPr="008F7B17">
        <w:rPr>
          <w:lang w:val="en-US"/>
        </w:rPr>
        <w:t xml:space="preserve">75% [CI 70-78%) </w:t>
      </w:r>
      <w:r>
        <w:rPr>
          <w:lang w:val="en-US"/>
        </w:rPr>
        <w:t xml:space="preserve">for </w:t>
      </w:r>
      <w:r w:rsidRPr="008F7B17">
        <w:rPr>
          <w:lang w:val="en-US"/>
        </w:rPr>
        <w:t>HEp-2000</w:t>
      </w:r>
      <w:r>
        <w:rPr>
          <w:lang w:val="en-US"/>
        </w:rPr>
        <w:t xml:space="preserve">) was observed by Hoffman and colleagues on a set of 68 Ro60/SSA lineblot positive samples </w:t>
      </w:r>
      <w:r>
        <w:rPr>
          <w:noProof/>
          <w:lang w:val="en-US"/>
        </w:rPr>
        <w:t>(79)</w:t>
      </w:r>
      <w:r w:rsidRPr="008F7B17">
        <w:rPr>
          <w:sz w:val="18"/>
          <w:szCs w:val="18"/>
          <w:lang w:val="en-CA"/>
        </w:rPr>
        <w:t>.</w:t>
      </w:r>
      <w:r>
        <w:rPr>
          <w:sz w:val="18"/>
          <w:szCs w:val="18"/>
          <w:lang w:val="en-CA"/>
        </w:rPr>
        <w:t xml:space="preserve"> </w:t>
      </w:r>
      <w:r w:rsidRPr="00092340">
        <w:rPr>
          <w:lang w:val="en-US"/>
        </w:rPr>
        <w:t xml:space="preserve">In contrast, </w:t>
      </w:r>
      <w:r>
        <w:rPr>
          <w:lang w:val="en-US"/>
        </w:rPr>
        <w:t>a recent study</w:t>
      </w:r>
      <w:r w:rsidRPr="008F7B17">
        <w:rPr>
          <w:lang w:val="en-US"/>
        </w:rPr>
        <w:t xml:space="preserve"> </w:t>
      </w:r>
      <w:r>
        <w:rPr>
          <w:lang w:val="en-US"/>
        </w:rPr>
        <w:t>performed on diagnosed (and potentially treated) SLE patient in the context of the ongoing discussion on the applicability of ANA serology as entry criterion for clinical trials, showed significantly lower sensitivity (72.4%) for the HEp-2000 substrate compared to three HEp-2 substrates (sensitivity ranged 86.2% to 96.7%) and one HEp-2010 substrate (sensitivity 99.4%)</w:t>
      </w:r>
      <w:r>
        <w:rPr>
          <w:noProof/>
          <w:lang w:val="en-US"/>
        </w:rPr>
        <w:t>(82)</w:t>
      </w:r>
      <w:r>
        <w:rPr>
          <w:lang w:val="en-US"/>
        </w:rPr>
        <w:t>. Interestingly, however, for the HEp-2000 substrate (and one HEp-2 substrate) ANA-negative and ANA-positive patients differed in characteristics such as disease activity, anti-dsDNA titers and complement, suggesting that positivity with these kits signifies higher disease activity</w:t>
      </w:r>
      <w:r>
        <w:rPr>
          <w:noProof/>
          <w:lang w:val="en-US"/>
        </w:rPr>
        <w:t>(82)</w:t>
      </w:r>
      <w:r>
        <w:rPr>
          <w:lang w:val="en-US"/>
        </w:rPr>
        <w:t>. Of note, this study did not compare the specificity of the HEp-2 assays tested</w:t>
      </w:r>
      <w:r>
        <w:rPr>
          <w:noProof/>
          <w:lang w:val="en-US"/>
        </w:rPr>
        <w:t>(82)</w:t>
      </w:r>
      <w:r w:rsidRPr="007017A5">
        <w:rPr>
          <w:rFonts w:ascii="FrutigerLTPro-LightCn" w:hAnsi="FrutigerLTPro-LightCn" w:cs="FrutigerLTPro-LightCn"/>
          <w:color w:val="000000"/>
          <w:sz w:val="15"/>
          <w:szCs w:val="15"/>
          <w:lang w:val="en-US"/>
        </w:rPr>
        <w:t>.</w:t>
      </w:r>
      <w:r>
        <w:rPr>
          <w:lang w:val="en-US"/>
        </w:rPr>
        <w:t xml:space="preserve">  </w:t>
      </w:r>
    </w:p>
    <w:p w:rsidR="003D11BA" w:rsidRPr="00BA68AE" w:rsidRDefault="003D11BA" w:rsidP="00212E31">
      <w:pPr>
        <w:spacing w:before="120" w:after="0" w:line="240" w:lineRule="auto"/>
        <w:jc w:val="both"/>
        <w:rPr>
          <w:color w:val="FF0000"/>
          <w:lang w:val="en-US"/>
        </w:rPr>
      </w:pPr>
      <w:r>
        <w:rPr>
          <w:lang w:val="en-CA"/>
        </w:rPr>
        <w:t xml:space="preserve">Despite the high sensitivity of Hep-2000 for SSA/Ro60 antibodies, </w:t>
      </w:r>
      <w:r>
        <w:rPr>
          <w:lang w:val="en-US"/>
        </w:rPr>
        <w:t>there has been a shift from HEp-2000 towards HEp-2 over the last years [decrease of HEp-2000 users by 47% over a 6-year period (2013-2019) (source Sciensano), Belgium, and by 40% over a 5-year period (2014-2019) (source UKNEQAS, UK)]</w:t>
      </w:r>
      <w:r w:rsidRPr="006C4806">
        <w:rPr>
          <w:lang w:val="en-US"/>
        </w:rPr>
        <w:t>. This shift is probably related to several factors. First, the international consensus on ANA patterns (ICAP) which is increasingly adopted in clinical laboratories, only includes IIF patterns generated on classic HEp-2 substrates.</w:t>
      </w:r>
      <w:r w:rsidRPr="00610C9D">
        <w:rPr>
          <w:lang w:val="en-US"/>
        </w:rPr>
        <w:t xml:space="preserve"> Secondly, alternative automated solid phase methodologies for SSA/Ro60 </w:t>
      </w:r>
      <w:r>
        <w:rPr>
          <w:lang w:val="en-US"/>
        </w:rPr>
        <w:t xml:space="preserve">antibodies </w:t>
      </w:r>
      <w:r w:rsidRPr="00610C9D">
        <w:rPr>
          <w:lang w:val="en-US"/>
        </w:rPr>
        <w:t xml:space="preserve">have become available and have shown to be of added value in addition to HEp-2(000) IIF analysis </w:t>
      </w:r>
      <w:r>
        <w:rPr>
          <w:noProof/>
          <w:lang w:val="en-CA"/>
        </w:rPr>
        <w:t>(80)</w:t>
      </w:r>
      <w:r w:rsidRPr="001058B6">
        <w:rPr>
          <w:lang w:val="en-CA"/>
        </w:rPr>
        <w:t>.</w:t>
      </w:r>
      <w:r w:rsidRPr="00610C9D">
        <w:rPr>
          <w:rFonts w:ascii="FrutigerLTPro-LightCn" w:hAnsi="FrutigerLTPro-LightCn" w:cs="FrutigerLTPro-LightCn"/>
          <w:sz w:val="15"/>
          <w:szCs w:val="15"/>
          <w:lang w:val="en-US"/>
        </w:rPr>
        <w:t xml:space="preserve"> </w:t>
      </w:r>
      <w:r w:rsidRPr="006C4806">
        <w:rPr>
          <w:lang w:val="en-US"/>
        </w:rPr>
        <w:t xml:space="preserve">Thirdly, the added value of CAD systems, mostly using HEp-2 substrate, is increasingly being recognized resulting in an increased implementation of these systems. </w:t>
      </w:r>
    </w:p>
    <w:p w:rsidR="003D11BA" w:rsidRDefault="003D11BA" w:rsidP="00212E31">
      <w:pPr>
        <w:spacing w:before="240" w:after="120" w:line="240" w:lineRule="auto"/>
        <w:jc w:val="both"/>
        <w:rPr>
          <w:lang w:val="en-US"/>
        </w:rPr>
      </w:pPr>
      <w:r w:rsidRPr="00267CE6">
        <w:rPr>
          <w:lang w:val="en-US"/>
        </w:rPr>
        <w:t xml:space="preserve">The decision </w:t>
      </w:r>
      <w:r>
        <w:rPr>
          <w:lang w:val="en-US"/>
        </w:rPr>
        <w:t xml:space="preserve">of ICAP </w:t>
      </w:r>
      <w:r w:rsidRPr="00267CE6">
        <w:rPr>
          <w:lang w:val="en-US"/>
        </w:rPr>
        <w:t xml:space="preserve">not to include the HEp-2000 substrate </w:t>
      </w:r>
      <w:r>
        <w:rPr>
          <w:lang w:val="en-US"/>
        </w:rPr>
        <w:t>in their recommendations is based on t</w:t>
      </w:r>
      <w:r w:rsidRPr="00267CE6">
        <w:rPr>
          <w:lang w:val="en-US"/>
        </w:rPr>
        <w:t>he initial conception of ICAP</w:t>
      </w:r>
      <w:r>
        <w:rPr>
          <w:lang w:val="en-US"/>
        </w:rPr>
        <w:t xml:space="preserve"> to focus on unmanipulated</w:t>
      </w:r>
      <w:r w:rsidRPr="00267CE6">
        <w:rPr>
          <w:lang w:val="en-US"/>
        </w:rPr>
        <w:t xml:space="preserve"> cellular substrates</w:t>
      </w:r>
      <w:r>
        <w:rPr>
          <w:lang w:val="en-US"/>
        </w:rPr>
        <w:t xml:space="preserve"> </w:t>
      </w:r>
      <w:r>
        <w:rPr>
          <w:noProof/>
          <w:lang w:val="en-US"/>
        </w:rPr>
        <w:t>(57, 71)</w:t>
      </w:r>
      <w:r w:rsidRPr="00267CE6">
        <w:rPr>
          <w:lang w:val="en-US"/>
        </w:rPr>
        <w:t>.</w:t>
      </w:r>
      <w:r>
        <w:rPr>
          <w:lang w:val="en-US"/>
        </w:rPr>
        <w:t xml:space="preserve"> This decision was recently questioned by Lee and colleagues, mainly in the context of the high sensitivity of the HEP-2000 substrate for SSA antibody detection and risk assessment for neonatal lupus </w:t>
      </w:r>
      <w:r>
        <w:rPr>
          <w:noProof/>
          <w:lang w:val="en-US"/>
        </w:rPr>
        <w:t>(72)</w:t>
      </w:r>
      <w:r>
        <w:rPr>
          <w:lang w:val="en-US"/>
        </w:rPr>
        <w:t xml:space="preserve">. Indeed, </w:t>
      </w:r>
      <w:r w:rsidRPr="0004592B">
        <w:rPr>
          <w:lang w:val="en-CA"/>
        </w:rPr>
        <w:t>Ro60 cDNA</w:t>
      </w:r>
      <w:r>
        <w:rPr>
          <w:lang w:val="en-CA"/>
        </w:rPr>
        <w:t xml:space="preserve"> </w:t>
      </w:r>
      <w:r>
        <w:rPr>
          <w:lang w:val="en-US"/>
        </w:rPr>
        <w:t>t</w:t>
      </w:r>
      <w:r w:rsidRPr="00F14B49">
        <w:rPr>
          <w:lang w:val="en-US"/>
        </w:rPr>
        <w:t>ransfection does not seem to affect most of the regular HEp-2 IIF patterns</w:t>
      </w:r>
      <w:r>
        <w:rPr>
          <w:lang w:val="en-US"/>
        </w:rPr>
        <w:t xml:space="preserve"> </w:t>
      </w:r>
      <w:r>
        <w:rPr>
          <w:noProof/>
          <w:lang w:val="en-US"/>
        </w:rPr>
        <w:t>(41)</w:t>
      </w:r>
      <w:r>
        <w:rPr>
          <w:sz w:val="16"/>
          <w:szCs w:val="16"/>
          <w:lang w:val="en-US"/>
        </w:rPr>
        <w:t xml:space="preserve">.  </w:t>
      </w:r>
      <w:r w:rsidRPr="006C4806">
        <w:rPr>
          <w:lang w:val="en-US"/>
        </w:rPr>
        <w:t xml:space="preserve">Obviously, </w:t>
      </w:r>
      <w:r w:rsidRPr="000B4A06">
        <w:rPr>
          <w:lang w:val="en-US"/>
        </w:rPr>
        <w:t>the</w:t>
      </w:r>
      <w:r w:rsidRPr="00F14B49">
        <w:rPr>
          <w:lang w:val="en-US"/>
        </w:rPr>
        <w:t xml:space="preserve"> </w:t>
      </w:r>
      <w:r w:rsidRPr="00F14B49">
        <w:rPr>
          <w:lang w:val="en-US"/>
        </w:rPr>
        <w:lastRenderedPageBreak/>
        <w:t>nuclear fine speckled pattern (AC-4) in conventional HEp-2 cells, as far as attributed to the presence of anti-SS-A/Ro60 antibodies, will change</w:t>
      </w:r>
      <w:r>
        <w:rPr>
          <w:lang w:val="en-US"/>
        </w:rPr>
        <w:t xml:space="preserve"> </w:t>
      </w:r>
      <w:r>
        <w:rPr>
          <w:noProof/>
          <w:lang w:val="en-US"/>
        </w:rPr>
        <w:t>(37)</w:t>
      </w:r>
      <w:r w:rsidRPr="00F14B49">
        <w:rPr>
          <w:rFonts w:ascii="Helvetica" w:hAnsi="Helvetica"/>
          <w:color w:val="333333"/>
          <w:sz w:val="26"/>
          <w:szCs w:val="26"/>
          <w:shd w:val="clear" w:color="auto" w:fill="FFFFFF"/>
          <w:lang w:val="en-US"/>
        </w:rPr>
        <w:t>.</w:t>
      </w:r>
      <w:r w:rsidRPr="00267CE6">
        <w:rPr>
          <w:lang w:val="en-US"/>
        </w:rPr>
        <w:t xml:space="preserve"> </w:t>
      </w:r>
      <w:r>
        <w:rPr>
          <w:lang w:val="en-US"/>
        </w:rPr>
        <w:t>In reply to the  Comment of Lee et al.</w:t>
      </w:r>
      <w:r>
        <w:rPr>
          <w:noProof/>
          <w:lang w:val="en-US"/>
        </w:rPr>
        <w:t>(72)</w:t>
      </w:r>
      <w:r>
        <w:rPr>
          <w:lang w:val="en-US"/>
        </w:rPr>
        <w:t xml:space="preserve">, ICAP acknowledged that </w:t>
      </w:r>
      <w:r w:rsidRPr="00267CE6">
        <w:rPr>
          <w:lang w:val="en-US"/>
        </w:rPr>
        <w:t>th</w:t>
      </w:r>
      <w:r>
        <w:rPr>
          <w:lang w:val="en-US"/>
        </w:rPr>
        <w:t>e</w:t>
      </w:r>
      <w:r w:rsidRPr="00267CE6">
        <w:rPr>
          <w:lang w:val="en-US"/>
        </w:rPr>
        <w:t xml:space="preserve"> decision </w:t>
      </w:r>
      <w:r>
        <w:rPr>
          <w:lang w:val="en-US"/>
        </w:rPr>
        <w:t>on not including patterns of manipulated cellular substrates may be</w:t>
      </w:r>
      <w:r w:rsidRPr="00267CE6">
        <w:rPr>
          <w:lang w:val="en-US"/>
        </w:rPr>
        <w:t xml:space="preserve"> disputable and perhaps should be reconsidered in the near future</w:t>
      </w:r>
      <w:r>
        <w:rPr>
          <w:lang w:val="en-US"/>
        </w:rPr>
        <w:t xml:space="preserve"> </w:t>
      </w:r>
      <w:r>
        <w:rPr>
          <w:noProof/>
          <w:lang w:val="en-US"/>
        </w:rPr>
        <w:t>(37)</w:t>
      </w:r>
      <w:r w:rsidRPr="00267CE6">
        <w:rPr>
          <w:lang w:val="en-US"/>
        </w:rPr>
        <w:t>.</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 xml:space="preserve">or both the Kallestad </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 xml:space="preserve">and Immuno Concepts kits, ANA- negative patients differed from </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 xml:space="preserve">ANA- positive patients in disease activity, levels of anti- dsDNA and </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 xml:space="preserve">complement C3 and C4, and frequency of anti- RBPs and high </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IFN expression. A positive value with these kits may therefore sig</w:t>
      </w:r>
      <w:r w:rsidRPr="00092340">
        <w:rPr>
          <w:rFonts w:ascii="ff9" w:eastAsia="Times New Roman" w:hAnsi="ff9" w:cs="Times New Roman"/>
          <w:color w:val="231F20"/>
          <w:sz w:val="54"/>
          <w:szCs w:val="54"/>
          <w:lang w:val="en-US" w:eastAsia="nl-BE"/>
        </w:rPr>
        <w:t>-</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 xml:space="preserve">nify greater disease activity and the possible likelihood of response </w:t>
      </w:r>
    </w:p>
    <w:p w:rsidR="003D11BA" w:rsidRPr="00092340" w:rsidRDefault="003D11BA" w:rsidP="00212E31">
      <w:pPr>
        <w:shd w:val="clear" w:color="auto" w:fill="FFFFFF"/>
        <w:spacing w:after="0" w:line="0" w:lineRule="auto"/>
        <w:rPr>
          <w:rFonts w:ascii="ff9" w:eastAsia="Times New Roman" w:hAnsi="ff9" w:cs="Times New Roman"/>
          <w:color w:val="231F20"/>
          <w:spacing w:val="-5"/>
          <w:sz w:val="54"/>
          <w:szCs w:val="54"/>
          <w:lang w:val="en-US" w:eastAsia="nl-BE"/>
        </w:rPr>
      </w:pPr>
      <w:r w:rsidRPr="00092340">
        <w:rPr>
          <w:rFonts w:ascii="ff9" w:eastAsia="Times New Roman" w:hAnsi="ff9" w:cs="Times New Roman"/>
          <w:color w:val="231F20"/>
          <w:spacing w:val="-5"/>
          <w:sz w:val="54"/>
          <w:szCs w:val="54"/>
          <w:lang w:val="en-US" w:eastAsia="nl-BE"/>
        </w:rPr>
        <w:t>to certain agents</w:t>
      </w:r>
    </w:p>
    <w:p w:rsidR="003D11BA" w:rsidRDefault="003D11BA" w:rsidP="00212E31">
      <w:pPr>
        <w:spacing w:line="240" w:lineRule="auto"/>
        <w:jc w:val="both"/>
        <w:rPr>
          <w:color w:val="FF0000"/>
          <w:sz w:val="24"/>
          <w:szCs w:val="24"/>
          <w:lang w:val="en-US"/>
        </w:rPr>
      </w:pPr>
    </w:p>
    <w:p w:rsidR="003D11BA" w:rsidRPr="00DE2D1A" w:rsidRDefault="003D11BA" w:rsidP="00212E31">
      <w:pPr>
        <w:spacing w:line="240" w:lineRule="auto"/>
        <w:jc w:val="both"/>
        <w:rPr>
          <w:b/>
          <w:color w:val="FF0000"/>
          <w:sz w:val="24"/>
          <w:szCs w:val="24"/>
          <w:lang w:val="en-US"/>
        </w:rPr>
      </w:pPr>
      <w:r w:rsidRPr="00DE2D1A">
        <w:rPr>
          <w:b/>
          <w:sz w:val="24"/>
          <w:szCs w:val="24"/>
          <w:lang w:val="en-US"/>
        </w:rPr>
        <w:t>Conjugate</w:t>
      </w:r>
    </w:p>
    <w:p w:rsidR="003D11BA" w:rsidRDefault="003D11BA" w:rsidP="00212E31">
      <w:pPr>
        <w:spacing w:before="240" w:after="120" w:line="240" w:lineRule="auto"/>
        <w:jc w:val="both"/>
        <w:rPr>
          <w:lang w:val="en-US"/>
        </w:rPr>
      </w:pPr>
      <w:r w:rsidRPr="001A5D6B">
        <w:rPr>
          <w:lang w:val="en-US"/>
        </w:rPr>
        <w:t xml:space="preserve">Published comparative data on the use of different ANA HEp2 IIF conjugates are very limited. One study on ANA detection </w:t>
      </w:r>
      <w:r>
        <w:rPr>
          <w:lang w:val="en-US"/>
        </w:rPr>
        <w:t xml:space="preserve">(by HEp-2 IIF) </w:t>
      </w:r>
      <w:r w:rsidRPr="001A5D6B">
        <w:rPr>
          <w:lang w:val="en-US"/>
        </w:rPr>
        <w:t xml:space="preserve">in healthy donors found IgG isotype antibodies in only 23 sera of a total set of 62 </w:t>
      </w:r>
      <w:r>
        <w:rPr>
          <w:lang w:val="en-US"/>
        </w:rPr>
        <w:t xml:space="preserve">sera </w:t>
      </w:r>
      <w:r w:rsidRPr="001A5D6B">
        <w:rPr>
          <w:lang w:val="en-US"/>
        </w:rPr>
        <w:t xml:space="preserve">that were </w:t>
      </w:r>
      <w:r>
        <w:rPr>
          <w:lang w:val="en-US"/>
        </w:rPr>
        <w:t xml:space="preserve">ANA </w:t>
      </w:r>
      <w:r w:rsidRPr="001A5D6B">
        <w:rPr>
          <w:lang w:val="en-US"/>
        </w:rPr>
        <w:t>positive using a polyvalent anti-Ig conjugate (mostly titer lower than or equal to 1:80)</w:t>
      </w:r>
      <w:r>
        <w:rPr>
          <w:noProof/>
          <w:lang w:val="en-US"/>
        </w:rPr>
        <w:t>(83)</w:t>
      </w:r>
      <w:r>
        <w:rPr>
          <w:lang w:val="en-US"/>
        </w:rPr>
        <w:t xml:space="preserve">. A </w:t>
      </w:r>
      <w:r w:rsidRPr="001A5D6B">
        <w:rPr>
          <w:lang w:val="en-US"/>
        </w:rPr>
        <w:t xml:space="preserve">second study on </w:t>
      </w:r>
      <w:r>
        <w:rPr>
          <w:lang w:val="en-US"/>
        </w:rPr>
        <w:t xml:space="preserve">ANA detection in </w:t>
      </w:r>
      <w:r w:rsidRPr="002728E1">
        <w:rPr>
          <w:lang w:val="en-US"/>
        </w:rPr>
        <w:t>100 p</w:t>
      </w:r>
      <w:r>
        <w:rPr>
          <w:lang w:val="en-US"/>
        </w:rPr>
        <w:t xml:space="preserve">atients with a connective tissue disease found that all </w:t>
      </w:r>
      <w:r w:rsidRPr="001A5D6B">
        <w:rPr>
          <w:lang w:val="en-US"/>
        </w:rPr>
        <w:t xml:space="preserve">patients produced IgG class ANA, either exclusively or combined with IgM and/or IgA ANA </w:t>
      </w:r>
      <w:r>
        <w:rPr>
          <w:noProof/>
          <w:lang w:val="en-US"/>
        </w:rPr>
        <w:t>(84)</w:t>
      </w:r>
      <w:r w:rsidRPr="001A5D6B">
        <w:rPr>
          <w:lang w:val="en-US"/>
        </w:rPr>
        <w:t>. The authors suggest</w:t>
      </w:r>
      <w:r>
        <w:rPr>
          <w:lang w:val="en-US"/>
        </w:rPr>
        <w:t>ed</w:t>
      </w:r>
      <w:r w:rsidRPr="001A5D6B">
        <w:rPr>
          <w:lang w:val="en-US"/>
        </w:rPr>
        <w:t xml:space="preserve"> </w:t>
      </w:r>
      <w:r>
        <w:rPr>
          <w:lang w:val="en-US"/>
        </w:rPr>
        <w:t>to</w:t>
      </w:r>
      <w:r w:rsidRPr="001A5D6B">
        <w:rPr>
          <w:lang w:val="en-US"/>
        </w:rPr>
        <w:t xml:space="preserve"> use </w:t>
      </w:r>
      <w:r>
        <w:rPr>
          <w:lang w:val="en-US"/>
        </w:rPr>
        <w:t xml:space="preserve">a </w:t>
      </w:r>
      <w:r w:rsidRPr="001A5D6B">
        <w:rPr>
          <w:lang w:val="en-US"/>
        </w:rPr>
        <w:t xml:space="preserve">total Ig conjugate until the role of IgA </w:t>
      </w:r>
      <w:r>
        <w:rPr>
          <w:lang w:val="en-US"/>
        </w:rPr>
        <w:t xml:space="preserve">ANA in </w:t>
      </w:r>
      <w:r w:rsidRPr="001A5D6B">
        <w:rPr>
          <w:lang w:val="en-US"/>
        </w:rPr>
        <w:t xml:space="preserve">diagnosis, prognosis and follow-up is </w:t>
      </w:r>
      <w:r>
        <w:rPr>
          <w:lang w:val="en-US"/>
        </w:rPr>
        <w:t xml:space="preserve">elucidated </w:t>
      </w:r>
      <w:r>
        <w:rPr>
          <w:noProof/>
          <w:lang w:val="en-US"/>
        </w:rPr>
        <w:t>(84)</w:t>
      </w:r>
      <w:r w:rsidRPr="001A5D6B">
        <w:rPr>
          <w:lang w:val="en-US"/>
        </w:rPr>
        <w:t xml:space="preserve">. </w:t>
      </w:r>
      <w:r>
        <w:rPr>
          <w:lang w:val="en-US"/>
        </w:rPr>
        <w:t>A</w:t>
      </w:r>
      <w:r w:rsidRPr="001A5D6B">
        <w:rPr>
          <w:lang w:val="en-US"/>
        </w:rPr>
        <w:t xml:space="preserve">ccording to some authors and the CLSI guideline on HEp-2 IIF the use of a polyconjugate (anti-IgG, -IgA and -IgM) and total Ig conjugate may produce background fluorescence and </w:t>
      </w:r>
      <w:r>
        <w:rPr>
          <w:lang w:val="en-US"/>
        </w:rPr>
        <w:t xml:space="preserve">may </w:t>
      </w:r>
      <w:r w:rsidRPr="001A5D6B">
        <w:rPr>
          <w:lang w:val="en-US"/>
        </w:rPr>
        <w:t>detect clinically irrelevant antibodies</w:t>
      </w:r>
      <w:r>
        <w:rPr>
          <w:lang w:val="en-US"/>
        </w:rPr>
        <w:t xml:space="preserve"> </w:t>
      </w:r>
      <w:r>
        <w:rPr>
          <w:noProof/>
          <w:lang w:val="en-US"/>
        </w:rPr>
        <w:t>(41, 85)</w:t>
      </w:r>
      <w:r>
        <w:rPr>
          <w:lang w:val="en-US"/>
        </w:rPr>
        <w:t>. T</w:t>
      </w:r>
      <w:r w:rsidRPr="001A5D6B">
        <w:rPr>
          <w:lang w:val="en-US"/>
        </w:rPr>
        <w:t>herefore</w:t>
      </w:r>
      <w:r>
        <w:rPr>
          <w:lang w:val="en-US"/>
        </w:rPr>
        <w:t>,</w:t>
      </w:r>
      <w:r w:rsidRPr="001A5D6B">
        <w:rPr>
          <w:lang w:val="en-US"/>
        </w:rPr>
        <w:t xml:space="preserve"> the use of an anti</w:t>
      </w:r>
      <w:r>
        <w:rPr>
          <w:lang w:val="en-US"/>
        </w:rPr>
        <w:t>-</w:t>
      </w:r>
      <w:r w:rsidRPr="001A5D6B">
        <w:rPr>
          <w:lang w:val="en-US"/>
        </w:rPr>
        <w:t xml:space="preserve">human IgG (Fc)-specific conjugate </w:t>
      </w:r>
      <w:r>
        <w:rPr>
          <w:lang w:val="en-US"/>
        </w:rPr>
        <w:t xml:space="preserve">has been promoted in order </w:t>
      </w:r>
      <w:r w:rsidRPr="001A5D6B">
        <w:rPr>
          <w:lang w:val="en-US"/>
        </w:rPr>
        <w:t>to enhance the positive predictive value of the ANA test</w:t>
      </w:r>
      <w:r>
        <w:rPr>
          <w:lang w:val="en-US"/>
        </w:rPr>
        <w:t xml:space="preserve"> </w:t>
      </w:r>
      <w:r>
        <w:rPr>
          <w:noProof/>
          <w:lang w:val="en-US"/>
        </w:rPr>
        <w:t>(86, 87)</w:t>
      </w:r>
      <w:r w:rsidRPr="001A5D6B">
        <w:rPr>
          <w:lang w:val="en-US"/>
        </w:rPr>
        <w:t xml:space="preserve">. IgM-class antinuclear antibodies are also associated with rheumatoid arthritis, drugs, and </w:t>
      </w:r>
      <w:r>
        <w:rPr>
          <w:lang w:val="en-US"/>
        </w:rPr>
        <w:t xml:space="preserve">older </w:t>
      </w:r>
      <w:r w:rsidRPr="001A5D6B">
        <w:rPr>
          <w:lang w:val="en-US"/>
        </w:rPr>
        <w:t>age, and are usually of no diagnostic significance</w:t>
      </w:r>
      <w:r w:rsidRPr="001A5D6B" w:rsidDel="0061220D">
        <w:rPr>
          <w:lang w:val="en-US"/>
        </w:rPr>
        <w:t xml:space="preserve"> </w:t>
      </w:r>
      <w:r>
        <w:rPr>
          <w:noProof/>
          <w:lang w:val="en-US"/>
        </w:rPr>
        <w:t>(41, 88)</w:t>
      </w:r>
      <w:r w:rsidRPr="001A5D6B">
        <w:rPr>
          <w:lang w:val="en-US"/>
        </w:rPr>
        <w:t>. In addition, it must be mentioned that Infliximab treatment induces ANAs, and especially IgM and IgA anti‐dsDNA antibodies</w:t>
      </w:r>
      <w:r>
        <w:rPr>
          <w:lang w:val="en-US"/>
        </w:rPr>
        <w:t xml:space="preserve"> </w:t>
      </w:r>
      <w:r>
        <w:rPr>
          <w:noProof/>
          <w:lang w:val="en-US"/>
        </w:rPr>
        <w:t>(89, 90)</w:t>
      </w:r>
      <w:r w:rsidRPr="001A5D6B">
        <w:rPr>
          <w:lang w:val="en-US"/>
        </w:rPr>
        <w:t>.</w:t>
      </w:r>
      <w:r>
        <w:rPr>
          <w:lang w:val="en-US"/>
        </w:rPr>
        <w:t xml:space="preserve"> I</w:t>
      </w:r>
      <w:r w:rsidRPr="001A5D6B">
        <w:rPr>
          <w:lang w:val="en-US"/>
        </w:rPr>
        <w:t>n rare cases</w:t>
      </w:r>
      <w:r>
        <w:rPr>
          <w:lang w:val="en-US"/>
        </w:rPr>
        <w:t xml:space="preserve">, these antibodies have been </w:t>
      </w:r>
      <w:r w:rsidRPr="001A5D6B">
        <w:rPr>
          <w:lang w:val="en-US"/>
        </w:rPr>
        <w:t>associated with development of drug-induced lupus</w:t>
      </w:r>
      <w:r>
        <w:rPr>
          <w:lang w:val="en-US"/>
        </w:rPr>
        <w:t xml:space="preserve"> </w:t>
      </w:r>
      <w:r>
        <w:rPr>
          <w:noProof/>
          <w:lang w:val="en-US"/>
        </w:rPr>
        <w:t>(89, 90)</w:t>
      </w:r>
      <w:r w:rsidRPr="001A5D6B">
        <w:rPr>
          <w:lang w:val="en-US"/>
        </w:rPr>
        <w:t xml:space="preserve">. </w:t>
      </w:r>
    </w:p>
    <w:tbl>
      <w:tblPr>
        <w:tblStyle w:val="TableGrid"/>
        <w:tblW w:w="0" w:type="auto"/>
        <w:shd w:val="clear" w:color="auto" w:fill="D0CECE" w:themeFill="background2" w:themeFillShade="E6"/>
        <w:tblLook w:val="04A0" w:firstRow="1" w:lastRow="0" w:firstColumn="1" w:lastColumn="0" w:noHBand="0" w:noVBand="1"/>
      </w:tblPr>
      <w:tblGrid>
        <w:gridCol w:w="9062"/>
      </w:tblGrid>
      <w:tr w:rsidR="003D11BA" w:rsidRPr="00CA415F" w:rsidTr="00212E31">
        <w:tc>
          <w:tcPr>
            <w:tcW w:w="9062" w:type="dxa"/>
            <w:shd w:val="clear" w:color="auto" w:fill="F2F2F2" w:themeFill="background1" w:themeFillShade="F2"/>
          </w:tcPr>
          <w:p w:rsidR="003D11BA" w:rsidRDefault="003D11BA" w:rsidP="00212E31">
            <w:pPr>
              <w:rPr>
                <w:lang w:val="en-CA"/>
              </w:rPr>
            </w:pPr>
          </w:p>
          <w:p w:rsidR="003D11BA" w:rsidRDefault="003D11BA" w:rsidP="00212E31">
            <w:pPr>
              <w:rPr>
                <w:lang w:val="en-CA"/>
              </w:rPr>
            </w:pPr>
            <w:r w:rsidRPr="00410506">
              <w:rPr>
                <w:lang w:val="en-CA"/>
              </w:rPr>
              <w:t>Both HEp-2 and Hep-2000 cells can be used as substrate for ANA IFA screening.</w:t>
            </w:r>
          </w:p>
          <w:p w:rsidR="003D11BA" w:rsidRPr="001A5D6B" w:rsidRDefault="003D11BA" w:rsidP="00212E31">
            <w:pPr>
              <w:spacing w:before="120"/>
              <w:rPr>
                <w:lang w:val="en-CA"/>
              </w:rPr>
            </w:pPr>
            <w:r w:rsidRPr="00FC5A0F">
              <w:rPr>
                <w:lang w:val="en-CA"/>
              </w:rPr>
              <w:t>The use of IgG specific conjugate is sufficient to detect most clinically relevant ANA</w:t>
            </w:r>
          </w:p>
          <w:p w:rsidR="003D11BA" w:rsidRDefault="003D11BA" w:rsidP="00212E31">
            <w:pPr>
              <w:spacing w:before="120"/>
              <w:rPr>
                <w:lang w:val="en-CA"/>
              </w:rPr>
            </w:pPr>
            <w:r w:rsidRPr="00E40C0F">
              <w:rPr>
                <w:lang w:val="en-CA"/>
              </w:rPr>
              <w:t xml:space="preserve">The </w:t>
            </w:r>
            <w:r>
              <w:rPr>
                <w:lang w:val="en-CA"/>
              </w:rPr>
              <w:t xml:space="preserve">isotype </w:t>
            </w:r>
            <w:r w:rsidRPr="00E40C0F">
              <w:rPr>
                <w:lang w:val="en-CA"/>
              </w:rPr>
              <w:t xml:space="preserve">specificity of the used substrate (polyspecific/IgG specific) contributes </w:t>
            </w:r>
            <w:r>
              <w:rPr>
                <w:lang w:val="en-CA"/>
              </w:rPr>
              <w:t xml:space="preserve">to </w:t>
            </w:r>
            <w:r w:rsidRPr="00E40C0F">
              <w:rPr>
                <w:lang w:val="en-CA"/>
              </w:rPr>
              <w:t>assay variability</w:t>
            </w:r>
          </w:p>
          <w:p w:rsidR="003D11BA" w:rsidRDefault="003D11BA" w:rsidP="00212E31">
            <w:pPr>
              <w:spacing w:before="120"/>
              <w:rPr>
                <w:lang w:val="en-CA"/>
              </w:rPr>
            </w:pPr>
          </w:p>
        </w:tc>
      </w:tr>
    </w:tbl>
    <w:p w:rsidR="003D11BA" w:rsidRPr="00CF7F08" w:rsidRDefault="003D11BA" w:rsidP="00212E31">
      <w:pPr>
        <w:spacing w:after="120" w:line="240" w:lineRule="auto"/>
        <w:rPr>
          <w:b/>
          <w:color w:val="000000" w:themeColor="text1"/>
          <w:highlight w:val="yellow"/>
          <w:lang w:val="en-US"/>
        </w:rPr>
      </w:pPr>
    </w:p>
    <w:p w:rsidR="003D11BA" w:rsidRPr="00F77A0A" w:rsidRDefault="003D11BA" w:rsidP="00212E31">
      <w:pPr>
        <w:spacing w:after="120" w:line="240" w:lineRule="auto"/>
        <w:rPr>
          <w:b/>
          <w:color w:val="000000" w:themeColor="text1"/>
          <w:lang w:val="en-US"/>
        </w:rPr>
      </w:pPr>
      <w:r w:rsidRPr="00F77A0A">
        <w:rPr>
          <w:b/>
          <w:color w:val="000000" w:themeColor="text1"/>
          <w:lang w:val="en-US"/>
        </w:rPr>
        <w:t>Automated microscopy (CAD)</w:t>
      </w:r>
    </w:p>
    <w:p w:rsidR="003D11BA" w:rsidRPr="00F77A0A" w:rsidRDefault="003D11BA" w:rsidP="00212E31">
      <w:pPr>
        <w:spacing w:before="240" w:after="120" w:line="240" w:lineRule="auto"/>
        <w:jc w:val="both"/>
        <w:rPr>
          <w:i/>
          <w:lang w:val="en-CA"/>
        </w:rPr>
      </w:pPr>
      <w:r w:rsidRPr="00F77A0A">
        <w:rPr>
          <w:i/>
          <w:lang w:val="en-CA"/>
        </w:rPr>
        <w:t>Alternative for manual microscopy: positive/negative discrimination and pattern recognition</w:t>
      </w:r>
    </w:p>
    <w:p w:rsidR="003D11BA" w:rsidRPr="000600BF" w:rsidRDefault="003D11BA" w:rsidP="00212E31">
      <w:pPr>
        <w:spacing w:before="240" w:after="120" w:line="240" w:lineRule="auto"/>
        <w:jc w:val="both"/>
        <w:rPr>
          <w:lang w:val="en-CA"/>
        </w:rPr>
      </w:pPr>
      <w:r>
        <w:rPr>
          <w:lang w:val="en-CA"/>
        </w:rPr>
        <w:t xml:space="preserve">During the last decade, digital systems for HEp-2 IIF allowing automated positive/negative interpretation and pattern recognition have been developed and extensively evaluated. Several studies compared these CAD  systems with the classic manual HEp-2 IIF and reported </w:t>
      </w:r>
      <w:r w:rsidRPr="00441D60">
        <w:rPr>
          <w:lang w:val="en-CA"/>
        </w:rPr>
        <w:t xml:space="preserve">a good </w:t>
      </w:r>
      <w:r>
        <w:rPr>
          <w:lang w:val="en-CA"/>
        </w:rPr>
        <w:t>overall concordance</w:t>
      </w:r>
      <w:r w:rsidRPr="00441D60">
        <w:rPr>
          <w:lang w:val="en-CA"/>
        </w:rPr>
        <w:t xml:space="preserve"> </w:t>
      </w:r>
      <w:r>
        <w:rPr>
          <w:lang w:val="en-CA"/>
        </w:rPr>
        <w:t xml:space="preserve">(positive/negative) </w:t>
      </w:r>
      <w:r w:rsidRPr="00441D60">
        <w:rPr>
          <w:lang w:val="en-CA"/>
        </w:rPr>
        <w:t xml:space="preserve">between automated and </w:t>
      </w:r>
      <w:r>
        <w:rPr>
          <w:lang w:val="en-CA"/>
        </w:rPr>
        <w:t>classic visual</w:t>
      </w:r>
      <w:r w:rsidRPr="00441D60">
        <w:rPr>
          <w:lang w:val="en-CA"/>
        </w:rPr>
        <w:t xml:space="preserve"> interpretation </w:t>
      </w:r>
      <w:r>
        <w:rPr>
          <w:lang w:val="en-CA"/>
        </w:rPr>
        <w:t xml:space="preserve">(overall concordance rate: mean 93.7%, range 71-99%) </w:t>
      </w:r>
      <w:r>
        <w:rPr>
          <w:noProof/>
          <w:lang w:val="en-CA"/>
        </w:rPr>
        <w:t>(91-102)</w:t>
      </w:r>
      <w:r w:rsidRPr="00285006">
        <w:rPr>
          <w:lang w:val="en-CA"/>
        </w:rPr>
        <w:t xml:space="preserve">.  </w:t>
      </w:r>
      <w:r w:rsidRPr="007017A5">
        <w:rPr>
          <w:lang w:val="en-CA"/>
        </w:rPr>
        <w:t xml:space="preserve">Compared to classic manual HEp-2 IIF, </w:t>
      </w:r>
      <w:r>
        <w:rPr>
          <w:lang w:val="en-CA"/>
        </w:rPr>
        <w:t xml:space="preserve">CAD systems had a high </w:t>
      </w:r>
      <w:r w:rsidRPr="00362C10">
        <w:rPr>
          <w:lang w:val="en-CA"/>
        </w:rPr>
        <w:t>sensitivity</w:t>
      </w:r>
      <w:r>
        <w:rPr>
          <w:lang w:val="en-CA"/>
        </w:rPr>
        <w:t xml:space="preserve"> for ANA detection at clinically relevant titers (mean sensitivity: 95.7%; range 87-99%) </w:t>
      </w:r>
      <w:r>
        <w:rPr>
          <w:noProof/>
          <w:lang w:val="en-CA"/>
        </w:rPr>
        <w:t>(91, 94, 100)</w:t>
      </w:r>
      <w:r w:rsidRPr="002D12A1">
        <w:rPr>
          <w:lang w:val="en-CA"/>
        </w:rPr>
        <w:t>.</w:t>
      </w:r>
      <w:r>
        <w:rPr>
          <w:lang w:val="en-CA"/>
        </w:rPr>
        <w:t xml:space="preserve"> Detailed review of the discordant samples revealed that correct positive/negative classification by CAD systems is mostly challenged by low titer ANA, cytoplasmic (e.g. ribosomal, mitochondrial, Jo-1, lysosomal, vimentin) staining and peculiar nuclear (e.g. nuclear dots) and  mitotic (e.g. centrosomes, midbody) staining </w:t>
      </w:r>
      <w:r>
        <w:rPr>
          <w:noProof/>
          <w:lang w:val="en-CA"/>
        </w:rPr>
        <w:t>(93, 94, 100)</w:t>
      </w:r>
      <w:r>
        <w:rPr>
          <w:lang w:val="en-CA"/>
        </w:rPr>
        <w:t xml:space="preserve">. The diagnostic accuracy of automated HEp-2 IIF in ANA-associated rheumatic disease cohorts has also been documented in several studies </w:t>
      </w:r>
      <w:r>
        <w:rPr>
          <w:noProof/>
          <w:lang w:val="en-CA"/>
        </w:rPr>
        <w:t>(93, 96, 103-106)</w:t>
      </w:r>
      <w:r w:rsidRPr="002D12A1">
        <w:rPr>
          <w:lang w:val="en-CA"/>
        </w:rPr>
        <w:t>.</w:t>
      </w:r>
      <w:r>
        <w:rPr>
          <w:lang w:val="en-CA"/>
        </w:rPr>
        <w:t xml:space="preserve"> The summary diagnostic sensitivity of automated compared to classic visual HEp-2 IIF was recently calculated on a pooled dataset of 4 studies and was 84% (95% CI=81.4-87.7) vs 78.2% (95% CI= 74.5-81.7)</w:t>
      </w:r>
      <w:r w:rsidRPr="007C2902">
        <w:rPr>
          <w:lang w:val="en-CA"/>
        </w:rPr>
        <w:t xml:space="preserve"> </w:t>
      </w:r>
      <w:r w:rsidRPr="007F5631">
        <w:rPr>
          <w:lang w:val="en-CA"/>
        </w:rPr>
        <w:t xml:space="preserve">for combined </w:t>
      </w:r>
      <w:r>
        <w:rPr>
          <w:lang w:val="en-CA"/>
        </w:rPr>
        <w:t xml:space="preserve">ANA-associated rheumatic diseases, 95.5% (95% CI= 90.4-98.3) </w:t>
      </w:r>
      <w:r w:rsidRPr="007F5631">
        <w:rPr>
          <w:lang w:val="en-CA"/>
        </w:rPr>
        <w:t xml:space="preserve">vs. 93.9% (95% CI= 88.4-97.3) for </w:t>
      </w:r>
      <w:r>
        <w:rPr>
          <w:lang w:val="en-CA"/>
        </w:rPr>
        <w:t>SLE</w:t>
      </w:r>
      <w:r w:rsidRPr="007F5631">
        <w:rPr>
          <w:lang w:val="en-CA"/>
        </w:rPr>
        <w:t xml:space="preserve">, and 86.5% (95% CI= 78.4-92.4) vs. 83.7% (95% CI= 75.1-90.2) for </w:t>
      </w:r>
      <w:r>
        <w:rPr>
          <w:lang w:val="en-CA"/>
        </w:rPr>
        <w:lastRenderedPageBreak/>
        <w:t>SSc</w:t>
      </w:r>
      <w:r w:rsidRPr="007F5631">
        <w:rPr>
          <w:lang w:val="en-CA"/>
        </w:rPr>
        <w:t>, respectively</w:t>
      </w:r>
      <w:r w:rsidRPr="007C2902">
        <w:rPr>
          <w:lang w:val="en-CA"/>
        </w:rPr>
        <w:t xml:space="preserve"> </w:t>
      </w:r>
      <w:r>
        <w:rPr>
          <w:noProof/>
          <w:lang w:val="en-CA"/>
        </w:rPr>
        <w:t>(107)</w:t>
      </w:r>
      <w:r w:rsidRPr="002D12A1">
        <w:rPr>
          <w:lang w:val="en-CA"/>
        </w:rPr>
        <w:t>. Overall, these findings suppor</w:t>
      </w:r>
      <w:r>
        <w:rPr>
          <w:lang w:val="en-CA"/>
        </w:rPr>
        <w:t>t</w:t>
      </w:r>
      <w:r w:rsidRPr="002D12A1">
        <w:rPr>
          <w:lang w:val="en-CA"/>
        </w:rPr>
        <w:t xml:space="preserve"> integration of these platforms in the first step of ANA screening (positive/negative discrimination). </w:t>
      </w:r>
    </w:p>
    <w:p w:rsidR="003D11BA" w:rsidRDefault="003D11BA" w:rsidP="00212E31">
      <w:pPr>
        <w:spacing w:before="240" w:after="120" w:line="240" w:lineRule="auto"/>
        <w:jc w:val="both"/>
        <w:rPr>
          <w:lang w:val="en-CA"/>
        </w:rPr>
      </w:pPr>
      <w:r w:rsidRPr="002D12A1">
        <w:rPr>
          <w:lang w:val="en-CA"/>
        </w:rPr>
        <w:t xml:space="preserve">In </w:t>
      </w:r>
      <w:r>
        <w:rPr>
          <w:lang w:val="en-CA"/>
        </w:rPr>
        <w:t>addition to positive/negative discrimination, most but not all CAD systems also provide an automated pattern interpretation</w:t>
      </w:r>
      <w:r w:rsidRPr="002B2237">
        <w:rPr>
          <w:lang w:val="en-CA"/>
        </w:rPr>
        <w:t xml:space="preserve"> </w:t>
      </w:r>
      <w:r>
        <w:rPr>
          <w:lang w:val="en-CA"/>
        </w:rPr>
        <w:t>for a pre-defined set of patterns, mostly including h</w:t>
      </w:r>
      <w:r w:rsidRPr="009F69D6">
        <w:rPr>
          <w:lang w:val="en-CA"/>
        </w:rPr>
        <w:t>omogeneous, speckled, nucleolar, centromeric and cytoplasmic patterns</w:t>
      </w:r>
      <w:r>
        <w:rPr>
          <w:lang w:val="en-CA"/>
        </w:rPr>
        <w:t xml:space="preserve">. Some CAD systems also claim to be able to identify nuclear dots, dense fine speckled and nuclear envelop patterns. Nevertheless, despite the fact that data must be interpreted in light of the </w:t>
      </w:r>
      <w:r w:rsidRPr="00DD7C5C">
        <w:rPr>
          <w:lang w:val="en-CA"/>
        </w:rPr>
        <w:t xml:space="preserve">limitations </w:t>
      </w:r>
      <w:r>
        <w:rPr>
          <w:lang w:val="en-CA"/>
        </w:rPr>
        <w:t xml:space="preserve">(in terms of the patterns that can be recognized) declared by the manufacturers, </w:t>
      </w:r>
      <w:r w:rsidRPr="002D12A1">
        <w:rPr>
          <w:lang w:val="en-CA"/>
        </w:rPr>
        <w:t xml:space="preserve">published data on </w:t>
      </w:r>
      <w:r>
        <w:rPr>
          <w:lang w:val="en-CA"/>
        </w:rPr>
        <w:t xml:space="preserve">the performance of </w:t>
      </w:r>
      <w:r w:rsidRPr="002D12A1">
        <w:rPr>
          <w:lang w:val="en-CA"/>
        </w:rPr>
        <w:t>pattern recognition are disappointing</w:t>
      </w:r>
      <w:r>
        <w:rPr>
          <w:lang w:val="en-CA"/>
        </w:rPr>
        <w:t xml:space="preserve">. A meta-analysis based on 11 studies reported a pooled positive concordance for all patterns (including </w:t>
      </w:r>
      <w:r w:rsidRPr="007A6498">
        <w:rPr>
          <w:lang w:val="en-CA"/>
        </w:rPr>
        <w:t>homogeneous, speckled, nucleolar, and</w:t>
      </w:r>
      <w:r>
        <w:rPr>
          <w:lang w:val="en-CA"/>
        </w:rPr>
        <w:t xml:space="preserve"> centromere patterns</w:t>
      </w:r>
      <w:r w:rsidRPr="007A6498">
        <w:rPr>
          <w:lang w:val="en-CA"/>
        </w:rPr>
        <w:t xml:space="preserve">) </w:t>
      </w:r>
      <w:r>
        <w:rPr>
          <w:lang w:val="en-CA"/>
        </w:rPr>
        <w:t xml:space="preserve">of 68.5% (95%CI= 67.2-69.7) </w:t>
      </w:r>
      <w:r>
        <w:rPr>
          <w:noProof/>
          <w:lang w:val="en-CA"/>
        </w:rPr>
        <w:t>(107)</w:t>
      </w:r>
      <w:r>
        <w:rPr>
          <w:lang w:val="en-CA"/>
        </w:rPr>
        <w:t xml:space="preserve">. The accuracy of the pattern recognition was dependent on the type of pattern and the substrate. CAD systems clearly had difficulties to correctly identify the rare, cytoplasmic and mixed patterns </w:t>
      </w:r>
      <w:r>
        <w:rPr>
          <w:noProof/>
          <w:lang w:val="en-CA"/>
        </w:rPr>
        <w:t>(93-95, 100, 103)</w:t>
      </w:r>
      <w:r w:rsidRPr="00285006">
        <w:rPr>
          <w:lang w:val="en-CA"/>
        </w:rPr>
        <w:t>,</w:t>
      </w:r>
      <w:r>
        <w:rPr>
          <w:lang w:val="en-CA"/>
        </w:rPr>
        <w:t xml:space="preserve"> with the lowest summary positive concordance (11.7%) observed for the nuclear dots </w:t>
      </w:r>
      <w:r w:rsidRPr="002D12A1">
        <w:rPr>
          <w:lang w:val="en-CA"/>
        </w:rPr>
        <w:t>pattern</w:t>
      </w:r>
      <w:r>
        <w:rPr>
          <w:lang w:val="en-CA"/>
        </w:rPr>
        <w:t xml:space="preserve"> (95%CI= 6.8-18.3)</w:t>
      </w:r>
      <w:r>
        <w:rPr>
          <w:noProof/>
          <w:lang w:val="en-CA"/>
        </w:rPr>
        <w:t>(107)</w:t>
      </w:r>
      <w:r w:rsidRPr="002D12A1">
        <w:rPr>
          <w:lang w:val="en-CA"/>
        </w:rPr>
        <w:t>.</w:t>
      </w:r>
      <w:r>
        <w:rPr>
          <w:lang w:val="en-CA"/>
        </w:rPr>
        <w:t xml:space="preserve"> Therefore, p</w:t>
      </w:r>
      <w:r w:rsidRPr="002B2237">
        <w:rPr>
          <w:lang w:val="en-CA"/>
        </w:rPr>
        <w:t xml:space="preserve">attern recognition by </w:t>
      </w:r>
      <w:r>
        <w:rPr>
          <w:lang w:val="en-CA"/>
        </w:rPr>
        <w:t xml:space="preserve">CADs </w:t>
      </w:r>
      <w:r w:rsidRPr="002B2237">
        <w:rPr>
          <w:lang w:val="en-CA"/>
        </w:rPr>
        <w:t>needs to be further refined.</w:t>
      </w:r>
    </w:p>
    <w:p w:rsidR="003D11BA" w:rsidRDefault="003D11BA" w:rsidP="00212E31">
      <w:pPr>
        <w:spacing w:before="240" w:after="120" w:line="240" w:lineRule="auto"/>
        <w:jc w:val="both"/>
        <w:rPr>
          <w:lang w:val="en-CA"/>
        </w:rPr>
      </w:pPr>
    </w:p>
    <w:p w:rsidR="003D11BA" w:rsidRPr="00F77A0A" w:rsidRDefault="003D11BA" w:rsidP="00212E31">
      <w:pPr>
        <w:spacing w:before="240" w:after="120" w:line="240" w:lineRule="auto"/>
        <w:jc w:val="both"/>
        <w:rPr>
          <w:i/>
          <w:lang w:val="en-CA"/>
        </w:rPr>
      </w:pPr>
      <w:r w:rsidRPr="00F77A0A">
        <w:rPr>
          <w:i/>
          <w:lang w:val="en-CA"/>
        </w:rPr>
        <w:t>End point titer versus single well titer</w:t>
      </w:r>
    </w:p>
    <w:p w:rsidR="003D11BA" w:rsidRDefault="003D11BA" w:rsidP="00212E31">
      <w:pPr>
        <w:spacing w:before="240" w:line="240" w:lineRule="auto"/>
        <w:jc w:val="both"/>
        <w:rPr>
          <w:lang w:val="en-CA"/>
        </w:rPr>
      </w:pPr>
      <w:r>
        <w:rPr>
          <w:lang w:val="en-CA"/>
        </w:rPr>
        <w:t xml:space="preserve">An interesting feature of the CAD HEp-2 IIF platforms is that they often provide a system-specific (arbitrary) quantitative measure for fluorescence intensity (FI). For several of the available CAD systems, the FI measure showed high analytical reproducibility </w:t>
      </w:r>
      <w:r>
        <w:rPr>
          <w:noProof/>
          <w:lang w:val="en-CA"/>
        </w:rPr>
        <w:t>(93, 94, 108, 109)</w:t>
      </w:r>
      <w:r>
        <w:rPr>
          <w:lang w:val="en-CA"/>
        </w:rPr>
        <w:t xml:space="preserve"> and significant correlation with the </w:t>
      </w:r>
      <w:r w:rsidRPr="002D12A1">
        <w:rPr>
          <w:lang w:val="en-CA"/>
        </w:rPr>
        <w:t>endpoint titer</w:t>
      </w:r>
      <w:r>
        <w:rPr>
          <w:lang w:val="en-CA"/>
        </w:rPr>
        <w:t>s</w:t>
      </w:r>
      <w:r w:rsidRPr="002D12A1">
        <w:rPr>
          <w:lang w:val="en-CA"/>
        </w:rPr>
        <w:t xml:space="preserve"> </w:t>
      </w:r>
      <w:r>
        <w:rPr>
          <w:lang w:val="en-CA"/>
        </w:rPr>
        <w:t xml:space="preserve">obtained by manual reading </w:t>
      </w:r>
      <w:r>
        <w:rPr>
          <w:noProof/>
          <w:lang w:val="en-CA"/>
        </w:rPr>
        <w:t>(91-94, 100, 103, 105, 110)</w:t>
      </w:r>
      <w:r>
        <w:rPr>
          <w:lang w:val="en-CA"/>
        </w:rPr>
        <w:t xml:space="preserve">. </w:t>
      </w:r>
      <w:r w:rsidRPr="002D12A1">
        <w:rPr>
          <w:lang w:val="en-CA"/>
        </w:rPr>
        <w:t>In addition</w:t>
      </w:r>
      <w:r>
        <w:rPr>
          <w:lang w:val="en-CA"/>
        </w:rPr>
        <w:t xml:space="preserve">, </w:t>
      </w:r>
      <w:r w:rsidRPr="002D12A1">
        <w:rPr>
          <w:lang w:val="en-CA"/>
        </w:rPr>
        <w:t xml:space="preserve">it was shown that the likelihood ratios for an AARD increased with increasing FI </w:t>
      </w:r>
      <w:r>
        <w:rPr>
          <w:noProof/>
          <w:lang w:val="en-CA"/>
        </w:rPr>
        <w:t>(93, 103, 105, 111)</w:t>
      </w:r>
      <w:r w:rsidRPr="002D12A1">
        <w:rPr>
          <w:lang w:val="en-CA"/>
        </w:rPr>
        <w:t>.</w:t>
      </w:r>
      <w:r>
        <w:rPr>
          <w:lang w:val="en-CA"/>
        </w:rPr>
        <w:t xml:space="preserve"> These observations illustrate that estimation of the fluorescence intensity by CAD for HEp-2 IIF has clinical utility.</w:t>
      </w:r>
    </w:p>
    <w:p w:rsidR="003D11BA" w:rsidRPr="00F34B48" w:rsidRDefault="003D11BA" w:rsidP="00212E31">
      <w:pPr>
        <w:spacing w:before="240" w:line="240" w:lineRule="auto"/>
        <w:jc w:val="both"/>
        <w:rPr>
          <w:i/>
          <w:sz w:val="16"/>
          <w:szCs w:val="16"/>
          <w:lang w:val="en-CA"/>
        </w:rPr>
      </w:pPr>
      <w:r>
        <w:rPr>
          <w:lang w:val="en-CA"/>
        </w:rPr>
        <w:t xml:space="preserve">The above data suggest that the FI measure may provide a useful alternative for endpoint titration. Moreover, some of the current available CAD HEp-2 IIF platforms provide a single dilution titer estimation function, the so called “single well titer” </w:t>
      </w:r>
      <w:r>
        <w:rPr>
          <w:noProof/>
          <w:lang w:val="en-CA"/>
        </w:rPr>
        <w:t>(108)</w:t>
      </w:r>
      <w:r w:rsidRPr="00B433F9">
        <w:rPr>
          <w:i/>
          <w:sz w:val="16"/>
          <w:szCs w:val="16"/>
          <w:lang w:val="en-CA"/>
        </w:rPr>
        <w:t>.</w:t>
      </w:r>
      <w:r>
        <w:rPr>
          <w:lang w:val="en-CA"/>
        </w:rPr>
        <w:t xml:space="preserve"> Yet, there are several limitations in directly applying this correlation between FI and end-point titer to eliminate serial dilution. First, the relation between the FI and endpoint titer is system-specific and also seems to be dependent on substrate </w:t>
      </w:r>
      <w:r>
        <w:rPr>
          <w:noProof/>
          <w:lang w:val="en-CA"/>
        </w:rPr>
        <w:t>(103)</w:t>
      </w:r>
      <w:r>
        <w:rPr>
          <w:lang w:val="en-CA"/>
        </w:rPr>
        <w:t xml:space="preserve"> and ANA pattern </w:t>
      </w:r>
      <w:r>
        <w:rPr>
          <w:noProof/>
          <w:lang w:val="en-CA"/>
        </w:rPr>
        <w:t>(109, 110)</w:t>
      </w:r>
      <w:r>
        <w:rPr>
          <w:i/>
          <w:sz w:val="16"/>
          <w:szCs w:val="16"/>
          <w:lang w:val="en-CA"/>
        </w:rPr>
        <w:t xml:space="preserve">. </w:t>
      </w:r>
      <w:r w:rsidRPr="00F34B48">
        <w:rPr>
          <w:lang w:val="en-CA"/>
        </w:rPr>
        <w:t xml:space="preserve">Moreover, </w:t>
      </w:r>
      <w:r w:rsidRPr="006A4F59">
        <w:rPr>
          <w:lang w:val="en-CA"/>
        </w:rPr>
        <w:t>an underestimation of endpoint titer and likelihood ratio for AARD may be possible in case of ANA patterns that stain only limited parts of the cells (e.g. centrosomes, nuclear dots, speckled cytoplasmic Jo-1 related staining</w:t>
      </w:r>
      <w:r w:rsidRPr="002D12A1">
        <w:rPr>
          <w:lang w:val="en-CA"/>
        </w:rPr>
        <w:t>)</w:t>
      </w:r>
      <w:r w:rsidRPr="002D12A1">
        <w:rPr>
          <w:rFonts w:asciiTheme="majorHAnsi" w:hAnsiTheme="majorHAnsi" w:cstheme="majorHAnsi"/>
          <w:lang w:val="en"/>
        </w:rPr>
        <w:t xml:space="preserve"> </w:t>
      </w:r>
      <w:r>
        <w:rPr>
          <w:rFonts w:asciiTheme="majorHAnsi" w:hAnsiTheme="majorHAnsi" w:cstheme="majorHAnsi"/>
          <w:noProof/>
          <w:lang w:val="en"/>
        </w:rPr>
        <w:t>(111)</w:t>
      </w:r>
      <w:r>
        <w:rPr>
          <w:i/>
          <w:sz w:val="16"/>
          <w:szCs w:val="16"/>
          <w:lang w:val="en-CA"/>
        </w:rPr>
        <w:t xml:space="preserve">. </w:t>
      </w:r>
      <w:r w:rsidRPr="003E152F">
        <w:rPr>
          <w:lang w:val="en-CA"/>
        </w:rPr>
        <w:t>Second</w:t>
      </w:r>
      <w:r>
        <w:rPr>
          <w:lang w:val="en-CA"/>
        </w:rPr>
        <w:t>ly</w:t>
      </w:r>
      <w:r w:rsidRPr="003E152F">
        <w:rPr>
          <w:lang w:val="en-CA"/>
        </w:rPr>
        <w:t>,</w:t>
      </w:r>
      <w:r>
        <w:rPr>
          <w:lang w:val="en-CA"/>
        </w:rPr>
        <w:t xml:space="preserve"> overlapping antibody patterns can be masked and overlooked if the samples are analyzed only in a single dilution.</w:t>
      </w:r>
      <w:r w:rsidRPr="003E152F">
        <w:rPr>
          <w:lang w:val="en-CA"/>
        </w:rPr>
        <w:t xml:space="preserve"> </w:t>
      </w:r>
    </w:p>
    <w:p w:rsidR="003D11BA" w:rsidRPr="002B5B75" w:rsidRDefault="003D11BA" w:rsidP="00212E31">
      <w:pPr>
        <w:spacing w:before="240" w:line="240" w:lineRule="auto"/>
        <w:jc w:val="both"/>
        <w:rPr>
          <w:lang w:val="en-CA"/>
        </w:rPr>
      </w:pPr>
      <w:r>
        <w:rPr>
          <w:lang w:val="en-CA"/>
        </w:rPr>
        <w:t>In summary</w:t>
      </w:r>
      <w:r w:rsidRPr="006A4F59">
        <w:rPr>
          <w:lang w:val="en-CA"/>
        </w:rPr>
        <w:t>, the added</w:t>
      </w:r>
      <w:r>
        <w:rPr>
          <w:lang w:val="en-CA"/>
        </w:rPr>
        <w:t>-</w:t>
      </w:r>
      <w:r w:rsidRPr="006A4F59">
        <w:rPr>
          <w:lang w:val="en-CA"/>
        </w:rPr>
        <w:t>value of th</w:t>
      </w:r>
      <w:r>
        <w:rPr>
          <w:lang w:val="en-CA"/>
        </w:rPr>
        <w:t>e</w:t>
      </w:r>
      <w:r w:rsidRPr="006A4F59">
        <w:rPr>
          <w:lang w:val="en-CA"/>
        </w:rPr>
        <w:t xml:space="preserve"> FI measure </w:t>
      </w:r>
      <w:r>
        <w:rPr>
          <w:lang w:val="en-CA"/>
        </w:rPr>
        <w:t xml:space="preserve">generated by CAD systems </w:t>
      </w:r>
      <w:r w:rsidRPr="006A4F59">
        <w:rPr>
          <w:lang w:val="en-CA"/>
        </w:rPr>
        <w:t xml:space="preserve">lies in the quantification of </w:t>
      </w:r>
      <w:r>
        <w:rPr>
          <w:lang w:val="en-CA"/>
        </w:rPr>
        <w:t xml:space="preserve">the </w:t>
      </w:r>
      <w:r w:rsidRPr="006A4F59">
        <w:rPr>
          <w:lang w:val="en-CA"/>
        </w:rPr>
        <w:t xml:space="preserve">FI that can be used to estimate the endpoint titer and to generate information regarding likelihood for disease. However, </w:t>
      </w:r>
      <w:r>
        <w:rPr>
          <w:lang w:val="en-CA"/>
        </w:rPr>
        <w:t xml:space="preserve">this does not signify that serial dilutions should be eliminated. Recent ICAP guidelines stated that </w:t>
      </w:r>
      <w:r w:rsidRPr="00AB2357">
        <w:rPr>
          <w:lang w:val="en-CA"/>
        </w:rPr>
        <w:t xml:space="preserve">estimates </w:t>
      </w:r>
      <w:r>
        <w:rPr>
          <w:lang w:val="en-CA"/>
        </w:rPr>
        <w:t xml:space="preserve">of end-point titers should be avoided on the report, and that it should be indicated </w:t>
      </w:r>
      <w:r w:rsidRPr="00AB2357">
        <w:rPr>
          <w:lang w:val="en-CA"/>
        </w:rPr>
        <w:t xml:space="preserve">whether the end titer is an estimate or achieved by serial dilutions </w:t>
      </w:r>
      <w:r>
        <w:rPr>
          <w:noProof/>
          <w:lang w:val="en-CA"/>
        </w:rPr>
        <w:t>(39)</w:t>
      </w:r>
      <w:r>
        <w:rPr>
          <w:lang w:val="en-CA"/>
        </w:rPr>
        <w:t xml:space="preserve">. </w:t>
      </w:r>
    </w:p>
    <w:p w:rsidR="003D11BA" w:rsidRPr="00F77A0A" w:rsidRDefault="003D11BA" w:rsidP="00212E31">
      <w:pPr>
        <w:spacing w:before="240" w:after="120" w:line="240" w:lineRule="auto"/>
        <w:jc w:val="both"/>
        <w:rPr>
          <w:i/>
          <w:lang w:val="en-CA"/>
        </w:rPr>
      </w:pPr>
      <w:r w:rsidRPr="00F77A0A">
        <w:rPr>
          <w:i/>
          <w:lang w:val="en-CA"/>
        </w:rPr>
        <w:t>Added value of CAD in Quality Assurance</w:t>
      </w:r>
    </w:p>
    <w:p w:rsidR="003D11BA" w:rsidRDefault="003D11BA" w:rsidP="00212E31">
      <w:pPr>
        <w:spacing w:before="240" w:after="120" w:line="240" w:lineRule="auto"/>
        <w:jc w:val="both"/>
        <w:rPr>
          <w:lang w:val="en-CA"/>
        </w:rPr>
      </w:pPr>
      <w:r>
        <w:rPr>
          <w:lang w:val="en-CA"/>
        </w:rPr>
        <w:t xml:space="preserve">Over the last few years, FI measures of CAD HEp-2 IIF systems have also shown potential in evaluating and controlling several variables impacting the quality of the total HEp-2 IIF testing process. The fundamental for this potential is the high analytical reproducibility of the FI measures as has been documented for some of the CAD systems </w:t>
      </w:r>
      <w:r>
        <w:rPr>
          <w:noProof/>
          <w:lang w:val="en-CA"/>
        </w:rPr>
        <w:t>(93, 94, 109)</w:t>
      </w:r>
      <w:r w:rsidRPr="00A13382">
        <w:rPr>
          <w:i/>
          <w:sz w:val="16"/>
          <w:szCs w:val="16"/>
          <w:lang w:val="en-CA"/>
        </w:rPr>
        <w:t>.</w:t>
      </w:r>
      <w:r>
        <w:rPr>
          <w:lang w:val="en-CA"/>
        </w:rPr>
        <w:t xml:space="preserve"> Both experimental as well as retrospective studies illustrated that monitoring FI measurements on quality control material as well as routine </w:t>
      </w:r>
      <w:r>
        <w:rPr>
          <w:lang w:val="en-CA"/>
        </w:rPr>
        <w:lastRenderedPageBreak/>
        <w:t xml:space="preserve">samples are adequate quality indicators if accompanied by well-defined acceptance criteria </w:t>
      </w:r>
      <w:r>
        <w:rPr>
          <w:noProof/>
          <w:lang w:val="en-CA"/>
        </w:rPr>
        <w:t>(112-114)</w:t>
      </w:r>
      <w:r>
        <w:rPr>
          <w:lang w:val="en-CA"/>
        </w:rPr>
        <w:t>. The acceptance criteria should be based on identifying clinically important shifts in fluorescence intensity.  Indeed, monitoring of FI reproducibility on selected samples (within and between runs within one laboratory or over different laboratories) as well as monitoring of the median fluorescence intensity per run showed to be able to identify technical issues with the equipment in both the pre-analytical (e.g. pipetting issues with the slide processor) as well as the analytical phase (e.g. calibration issues with the CAD</w:t>
      </w:r>
      <w:r w:rsidRPr="00927466">
        <w:rPr>
          <w:lang w:val="en-CA"/>
        </w:rPr>
        <w:t>)</w:t>
      </w:r>
      <w:r>
        <w:rPr>
          <w:lang w:val="en-CA"/>
        </w:rPr>
        <w:t>. M</w:t>
      </w:r>
      <w:r w:rsidRPr="00927466">
        <w:rPr>
          <w:lang w:val="en-CA"/>
        </w:rPr>
        <w:t xml:space="preserve">onitoring of the FI was also able </w:t>
      </w:r>
      <w:r>
        <w:rPr>
          <w:lang w:val="en-CA"/>
        </w:rPr>
        <w:t xml:space="preserve">to identify shifts in FI related to conjugate lot changes </w:t>
      </w:r>
      <w:r>
        <w:rPr>
          <w:noProof/>
          <w:lang w:val="en-CA"/>
        </w:rPr>
        <w:t>(113, 114)</w:t>
      </w:r>
      <w:r w:rsidRPr="00512A90">
        <w:rPr>
          <w:lang w:val="en-CA"/>
        </w:rPr>
        <w:t>.</w:t>
      </w:r>
      <w:r>
        <w:rPr>
          <w:lang w:val="en-CA"/>
        </w:rPr>
        <w:t xml:space="preserve"> Importantly, this approach was shown to be more sensitive than the traditional, more subjective, quality control indicators such as quantitative monitoring of iQC samples and monitoring of the monthly % positives in patient samples </w:t>
      </w:r>
      <w:r>
        <w:rPr>
          <w:noProof/>
          <w:lang w:val="en-CA"/>
        </w:rPr>
        <w:t>(112-114)</w:t>
      </w:r>
      <w:r w:rsidRPr="00A13382">
        <w:rPr>
          <w:i/>
          <w:sz w:val="16"/>
          <w:szCs w:val="16"/>
          <w:lang w:val="en-CA"/>
        </w:rPr>
        <w:t>.</w:t>
      </w:r>
      <w:r w:rsidRPr="00512A90">
        <w:rPr>
          <w:lang w:val="en-CA"/>
        </w:rPr>
        <w:t xml:space="preserve"> </w:t>
      </w:r>
    </w:p>
    <w:p w:rsidR="003D11BA" w:rsidRDefault="003D11BA" w:rsidP="00212E31">
      <w:pPr>
        <w:spacing w:before="240" w:after="120" w:line="240" w:lineRule="auto"/>
        <w:jc w:val="both"/>
        <w:rPr>
          <w:lang w:val="en-CA"/>
        </w:rPr>
      </w:pPr>
      <w:r w:rsidRPr="00CA5CB7">
        <w:rPr>
          <w:lang w:val="en-CA"/>
        </w:rPr>
        <w:t xml:space="preserve">Based on these observations, </w:t>
      </w:r>
      <w:r>
        <w:rPr>
          <w:lang w:val="en-CA"/>
        </w:rPr>
        <w:t xml:space="preserve">it can be concluded that </w:t>
      </w:r>
      <w:r w:rsidRPr="00CA5CB7">
        <w:rPr>
          <w:lang w:val="en-CA"/>
        </w:rPr>
        <w:t>the implementation of CAD systems</w:t>
      </w:r>
      <w:r>
        <w:rPr>
          <w:lang w:val="en-CA"/>
        </w:rPr>
        <w:t xml:space="preserve"> with a documented </w:t>
      </w:r>
      <w:r w:rsidRPr="0033127F">
        <w:rPr>
          <w:lang w:val="en-CA"/>
        </w:rPr>
        <w:t>reproducible</w:t>
      </w:r>
      <w:r>
        <w:rPr>
          <w:lang w:val="en-CA"/>
        </w:rPr>
        <w:t xml:space="preserve"> FI quantification</w:t>
      </w:r>
      <w:r w:rsidRPr="00CA5CB7">
        <w:rPr>
          <w:lang w:val="en-CA"/>
        </w:rPr>
        <w:t xml:space="preserve"> enables the introduction</w:t>
      </w:r>
      <w:r>
        <w:rPr>
          <w:lang w:val="en-CA"/>
        </w:rPr>
        <w:t xml:space="preserve"> of objective and more sensitive quality control procedures to monitor the total HEP-2 IIF testing process from dilution up to result interpretation within one laboratory (internal quality control procedures) as well as between laboratories (external quality control programs) </w:t>
      </w:r>
      <w:r>
        <w:rPr>
          <w:noProof/>
          <w:lang w:val="en-CA"/>
        </w:rPr>
        <w:t>(113)</w:t>
      </w:r>
      <w:r>
        <w:rPr>
          <w:lang w:val="en-CA"/>
        </w:rPr>
        <w:t>.</w:t>
      </w:r>
      <w:r w:rsidRPr="00D27886">
        <w:rPr>
          <w:lang w:val="en-CA"/>
        </w:rPr>
        <w:t xml:space="preserve"> </w:t>
      </w:r>
    </w:p>
    <w:p w:rsidR="003D11BA" w:rsidRDefault="003D11BA" w:rsidP="00212E31">
      <w:pPr>
        <w:spacing w:before="240" w:after="120" w:line="240" w:lineRule="auto"/>
        <w:jc w:val="both"/>
        <w:rPr>
          <w:lang w:val="en-CA"/>
        </w:rPr>
      </w:pPr>
    </w:p>
    <w:tbl>
      <w:tblPr>
        <w:tblStyle w:val="TableGrid"/>
        <w:tblW w:w="9209" w:type="dxa"/>
        <w:tblLook w:val="04A0" w:firstRow="1" w:lastRow="0" w:firstColumn="1" w:lastColumn="0" w:noHBand="0" w:noVBand="1"/>
      </w:tblPr>
      <w:tblGrid>
        <w:gridCol w:w="9209"/>
      </w:tblGrid>
      <w:tr w:rsidR="003D11BA" w:rsidRPr="00CA415F" w:rsidTr="00212E31">
        <w:tc>
          <w:tcPr>
            <w:tcW w:w="9209" w:type="dxa"/>
            <w:shd w:val="clear" w:color="auto" w:fill="F2F2F2" w:themeFill="background1" w:themeFillShade="F2"/>
          </w:tcPr>
          <w:p w:rsidR="003D11BA" w:rsidRDefault="003D11BA" w:rsidP="00212E31">
            <w:pPr>
              <w:pStyle w:val="ListParagraph"/>
              <w:ind w:right="-113"/>
              <w:rPr>
                <w:lang w:val="en-CA"/>
              </w:rPr>
            </w:pPr>
          </w:p>
          <w:p w:rsidR="003D11BA" w:rsidRDefault="003D11BA" w:rsidP="003D11BA">
            <w:pPr>
              <w:pStyle w:val="ListParagraph"/>
              <w:numPr>
                <w:ilvl w:val="0"/>
                <w:numId w:val="25"/>
              </w:numPr>
              <w:ind w:right="-113"/>
              <w:rPr>
                <w:lang w:val="en-CA"/>
              </w:rPr>
            </w:pPr>
            <w:r w:rsidRPr="00FA401B">
              <w:rPr>
                <w:lang w:val="en-CA"/>
              </w:rPr>
              <w:t>A computer-aided diagnosis system (CAD) for IIF can support</w:t>
            </w:r>
            <w:r>
              <w:rPr>
                <w:lang w:val="en-CA"/>
              </w:rPr>
              <w:t xml:space="preserve"> but not replace visual HEp-2 IIF for positive/negative interpretation</w:t>
            </w:r>
          </w:p>
          <w:p w:rsidR="003D11BA" w:rsidRDefault="003D11BA" w:rsidP="003D11BA">
            <w:pPr>
              <w:pStyle w:val="ListParagraph"/>
              <w:numPr>
                <w:ilvl w:val="0"/>
                <w:numId w:val="25"/>
              </w:numPr>
              <w:ind w:right="-113"/>
              <w:rPr>
                <w:lang w:val="en-CA"/>
              </w:rPr>
            </w:pPr>
            <w:r w:rsidRPr="00FA401B">
              <w:rPr>
                <w:lang w:val="en-CA"/>
              </w:rPr>
              <w:t>When a CAD for HEp-2 IIF is used, expert review of the patterns remains necessary.</w:t>
            </w:r>
          </w:p>
          <w:p w:rsidR="003D11BA" w:rsidRPr="00FA401B" w:rsidRDefault="003D11BA" w:rsidP="00212E31">
            <w:pPr>
              <w:pStyle w:val="ListParagraph"/>
              <w:ind w:right="-113"/>
              <w:rPr>
                <w:lang w:val="en-CA"/>
              </w:rPr>
            </w:pPr>
            <w:r w:rsidRPr="00FA401B">
              <w:rPr>
                <w:lang w:val="en-CA"/>
              </w:rPr>
              <w:t xml:space="preserve"> </w:t>
            </w:r>
          </w:p>
          <w:p w:rsidR="003D11BA" w:rsidRPr="00FA401B" w:rsidRDefault="003D11BA" w:rsidP="003D11BA">
            <w:pPr>
              <w:pStyle w:val="ListParagraph"/>
              <w:numPr>
                <w:ilvl w:val="0"/>
                <w:numId w:val="25"/>
              </w:numPr>
              <w:ind w:right="-113"/>
              <w:rPr>
                <w:lang w:val="en-CA"/>
              </w:rPr>
            </w:pPr>
            <w:r w:rsidRPr="00FA401B">
              <w:rPr>
                <w:lang w:val="en-CA"/>
              </w:rPr>
              <w:t>When a computer-aided diagnosis (CAD) system for HEp-2 IIF is used, the fluorescence intensity score rating (FI measure) provides:</w:t>
            </w:r>
          </w:p>
          <w:p w:rsidR="003D11BA" w:rsidRDefault="003D11BA" w:rsidP="003D11BA">
            <w:pPr>
              <w:pStyle w:val="ListParagraph"/>
              <w:numPr>
                <w:ilvl w:val="0"/>
                <w:numId w:val="26"/>
              </w:numPr>
              <w:ind w:left="1156" w:hanging="425"/>
              <w:rPr>
                <w:lang w:val="en-CA"/>
              </w:rPr>
            </w:pPr>
            <w:r w:rsidRPr="008C33C1">
              <w:rPr>
                <w:lang w:val="en-CA"/>
              </w:rPr>
              <w:t>information on titer estimation</w:t>
            </w:r>
          </w:p>
          <w:p w:rsidR="003D11BA" w:rsidRDefault="003D11BA" w:rsidP="003D11BA">
            <w:pPr>
              <w:pStyle w:val="ListParagraph"/>
              <w:numPr>
                <w:ilvl w:val="0"/>
                <w:numId w:val="26"/>
              </w:numPr>
              <w:ind w:left="1156" w:hanging="425"/>
              <w:rPr>
                <w:lang w:val="en-CA"/>
              </w:rPr>
            </w:pPr>
            <w:r w:rsidRPr="00FA401B">
              <w:rPr>
                <w:lang w:val="en-CA"/>
              </w:rPr>
              <w:t>information on the likelihood for ANA-associated rheumatic diseases</w:t>
            </w:r>
          </w:p>
          <w:p w:rsidR="003D11BA" w:rsidRDefault="003D11BA" w:rsidP="00212E31">
            <w:pPr>
              <w:pStyle w:val="ListParagraph"/>
              <w:ind w:left="1156"/>
              <w:rPr>
                <w:lang w:val="en-CA"/>
              </w:rPr>
            </w:pPr>
          </w:p>
          <w:p w:rsidR="003D11BA" w:rsidRDefault="003D11BA" w:rsidP="003D11BA">
            <w:pPr>
              <w:pStyle w:val="ListParagraph"/>
              <w:numPr>
                <w:ilvl w:val="0"/>
                <w:numId w:val="27"/>
              </w:numPr>
              <w:rPr>
                <w:lang w:val="en-CA"/>
              </w:rPr>
            </w:pPr>
            <w:r w:rsidRPr="00427BEF">
              <w:rPr>
                <w:lang w:val="en-CA"/>
              </w:rPr>
              <w:t>When a CAD system for HEp-2 IIF is used, evaluation of the reproducibility of the FI measure can contribute to monitoring of the quality of the analysis (e.g. as part of the IQC program)</w:t>
            </w:r>
          </w:p>
          <w:p w:rsidR="003D11BA" w:rsidRPr="00427BEF" w:rsidRDefault="003D11BA" w:rsidP="00212E31">
            <w:pPr>
              <w:pStyle w:val="ListParagraph"/>
              <w:rPr>
                <w:lang w:val="en-CA"/>
              </w:rPr>
            </w:pPr>
          </w:p>
        </w:tc>
      </w:tr>
    </w:tbl>
    <w:p w:rsidR="003D11BA" w:rsidRDefault="003D11BA" w:rsidP="00212E31">
      <w:pPr>
        <w:spacing w:line="240" w:lineRule="auto"/>
        <w:rPr>
          <w:b/>
          <w:u w:val="single"/>
          <w:lang w:val="en-CA"/>
        </w:rPr>
      </w:pPr>
    </w:p>
    <w:p w:rsidR="003D11BA" w:rsidRPr="00DE2D1A" w:rsidRDefault="003D11BA" w:rsidP="00212E31">
      <w:pPr>
        <w:rPr>
          <w:b/>
          <w:smallCaps/>
          <w:color w:val="000000" w:themeColor="text1"/>
          <w:lang w:val="en-CA"/>
        </w:rPr>
      </w:pPr>
      <w:r w:rsidRPr="00DE2D1A">
        <w:rPr>
          <w:b/>
          <w:smallCaps/>
          <w:color w:val="000000" w:themeColor="text1"/>
          <w:lang w:val="en-CA"/>
        </w:rPr>
        <w:t>Quality assurance approaches in HEp-2 IIF</w:t>
      </w:r>
    </w:p>
    <w:p w:rsidR="003D11BA" w:rsidRPr="00913DA2" w:rsidRDefault="003D11BA" w:rsidP="00212E31">
      <w:pPr>
        <w:spacing w:before="240" w:line="240" w:lineRule="auto"/>
        <w:jc w:val="both"/>
        <w:rPr>
          <w:i/>
          <w:sz w:val="18"/>
          <w:szCs w:val="18"/>
          <w:lang w:val="en-CA"/>
        </w:rPr>
      </w:pPr>
      <w:r w:rsidRPr="00C706FC">
        <w:rPr>
          <w:lang w:val="en-CA"/>
        </w:rPr>
        <w:t xml:space="preserve">Quality management is an important </w:t>
      </w:r>
      <w:bookmarkStart w:id="0" w:name="_GoBack"/>
      <w:r w:rsidRPr="00C706FC">
        <w:rPr>
          <w:lang w:val="en-CA"/>
        </w:rPr>
        <w:t>task</w:t>
      </w:r>
      <w:bookmarkEnd w:id="0"/>
      <w:r w:rsidRPr="00C706FC">
        <w:rPr>
          <w:lang w:val="en-CA"/>
        </w:rPr>
        <w:t xml:space="preserve"> for medical laboratories involved in patient care and translational research.</w:t>
      </w:r>
      <w:r w:rsidRPr="000042D9">
        <w:rPr>
          <w:rFonts w:ascii="Arial" w:hAnsi="Arial" w:cs="Arial"/>
          <w:sz w:val="24"/>
          <w:szCs w:val="24"/>
          <w:lang w:val="en-US"/>
        </w:rPr>
        <w:t xml:space="preserve"> </w:t>
      </w:r>
      <w:r w:rsidRPr="00CE7F1E">
        <w:rPr>
          <w:lang w:val="en-CA"/>
        </w:rPr>
        <w:t>I</w:t>
      </w:r>
      <w:r>
        <w:rPr>
          <w:lang w:val="en-CA"/>
        </w:rPr>
        <w:t>n line with (inter)national guidelines and EN/ISO 15189:2012 accreditation requirements</w:t>
      </w:r>
      <w:r>
        <w:rPr>
          <w:noProof/>
          <w:lang w:val="en-CA"/>
        </w:rPr>
        <w:t>(115)</w:t>
      </w:r>
      <w:r>
        <w:rPr>
          <w:lang w:val="en-CA"/>
        </w:rPr>
        <w:t>, i</w:t>
      </w:r>
      <w:r w:rsidRPr="00CE7F1E">
        <w:rPr>
          <w:lang w:val="en-CA"/>
        </w:rPr>
        <w:t xml:space="preserve">t is the responsibility </w:t>
      </w:r>
      <w:r>
        <w:rPr>
          <w:lang w:val="en-CA"/>
        </w:rPr>
        <w:t xml:space="preserve">of the laboratory to monitor and to control the quality of the total testing process by the development and implementation of a thorough quality assurance (QA) program. Nevertheless, in the context of autoimmune testing, and more specifically ANA analysis, the translation and interpretation of these guidelines/requirements in test-specific and detailed recommendations on how to set up this QA program is extremely challenging (for review see </w:t>
      </w:r>
      <w:r>
        <w:rPr>
          <w:noProof/>
          <w:lang w:val="en-CA"/>
        </w:rPr>
        <w:t>(116)</w:t>
      </w:r>
      <w:r>
        <w:rPr>
          <w:lang w:val="en-CA"/>
        </w:rPr>
        <w:t xml:space="preserve">). </w:t>
      </w:r>
    </w:p>
    <w:p w:rsidR="003D11BA" w:rsidRPr="00F77A0A" w:rsidRDefault="003D11BA" w:rsidP="00212E31">
      <w:pPr>
        <w:spacing w:after="120" w:line="240" w:lineRule="auto"/>
        <w:rPr>
          <w:b/>
          <w:color w:val="000000" w:themeColor="text1"/>
          <w:lang w:val="en-CA"/>
        </w:rPr>
      </w:pPr>
      <w:r w:rsidRPr="00F77A0A">
        <w:rPr>
          <w:b/>
          <w:color w:val="000000" w:themeColor="text1"/>
          <w:lang w:val="en-CA"/>
        </w:rPr>
        <w:t xml:space="preserve">Internal quality control </w:t>
      </w:r>
    </w:p>
    <w:p w:rsidR="003D11BA" w:rsidRDefault="003D11BA" w:rsidP="00212E31">
      <w:pPr>
        <w:spacing w:before="240" w:line="240" w:lineRule="auto"/>
        <w:jc w:val="both"/>
        <w:rPr>
          <w:lang w:val="en-CA"/>
        </w:rPr>
      </w:pPr>
      <w:r>
        <w:rPr>
          <w:lang w:val="en-CA"/>
        </w:rPr>
        <w:t xml:space="preserve">One of the important cornerstones in the QA program of clinical laboratories is the internal quality control (IQC) procedure monitoring the results obtained on quality control (QC) samples with known pattern/specificity and fluorescence intensity in each run. Variables in the IQC procedure for the HEp-2 IIF are: the minimal number of samples needed, the titer, the origin, the patterns of the selected samples and the methodology of monitoring, registration and judging the results. </w:t>
      </w:r>
    </w:p>
    <w:p w:rsidR="003D11BA" w:rsidRPr="00BD3813" w:rsidRDefault="003D11BA" w:rsidP="00212E31">
      <w:pPr>
        <w:spacing w:before="240" w:line="240" w:lineRule="auto"/>
        <w:jc w:val="both"/>
        <w:rPr>
          <w:i/>
          <w:lang w:val="en-CA"/>
        </w:rPr>
      </w:pPr>
      <w:r>
        <w:rPr>
          <w:i/>
          <w:lang w:val="en-CA"/>
        </w:rPr>
        <w:t>Minimal n</w:t>
      </w:r>
      <w:r w:rsidRPr="00BD3813">
        <w:rPr>
          <w:i/>
          <w:lang w:val="en-CA"/>
        </w:rPr>
        <w:t xml:space="preserve">umber of </w:t>
      </w:r>
      <w:r>
        <w:rPr>
          <w:i/>
          <w:lang w:val="en-CA"/>
        </w:rPr>
        <w:t xml:space="preserve">IQC </w:t>
      </w:r>
      <w:r w:rsidRPr="00BD3813">
        <w:rPr>
          <w:i/>
          <w:lang w:val="en-CA"/>
        </w:rPr>
        <w:t>samples and titer</w:t>
      </w:r>
    </w:p>
    <w:p w:rsidR="003D11BA" w:rsidRPr="007F1DB9" w:rsidRDefault="003D11BA" w:rsidP="00212E31">
      <w:pPr>
        <w:spacing w:before="240" w:line="240" w:lineRule="auto"/>
        <w:jc w:val="both"/>
        <w:rPr>
          <w:i/>
          <w:sz w:val="16"/>
          <w:szCs w:val="16"/>
          <w:lang w:val="en-CA"/>
        </w:rPr>
      </w:pPr>
      <w:r w:rsidRPr="00520AC8">
        <w:rPr>
          <w:lang w:val="en-CA"/>
        </w:rPr>
        <w:lastRenderedPageBreak/>
        <w:t>Classically kit-intern quality controls of Hep-2 IIF assays include a positive and negative IQC sample.</w:t>
      </w:r>
      <w:r w:rsidRPr="00520AC8">
        <w:rPr>
          <w:lang w:val="en-US"/>
        </w:rPr>
        <w:t xml:space="preserve"> </w:t>
      </w:r>
      <w:r w:rsidRPr="00520AC8">
        <w:rPr>
          <w:lang w:val="en-CA"/>
        </w:rPr>
        <w:t xml:space="preserve">The use of (at least) 2 IQC samples, one negative and one positive IQC sample, in each run </w:t>
      </w:r>
      <w:r w:rsidRPr="00520AC8">
        <w:rPr>
          <w:lang w:val="en-US"/>
        </w:rPr>
        <w:t xml:space="preserve">is in line with the recommendations of the Clinical and Laboratory Standards Institute (CLSI) </w:t>
      </w:r>
      <w:r>
        <w:rPr>
          <w:noProof/>
          <w:lang w:val="en-US"/>
        </w:rPr>
        <w:t>(41)</w:t>
      </w:r>
      <w:r>
        <w:rPr>
          <w:lang w:val="en-US"/>
        </w:rPr>
        <w:t xml:space="preserve"> </w:t>
      </w:r>
      <w:r w:rsidRPr="00520AC8">
        <w:rPr>
          <w:lang w:val="en-US"/>
        </w:rPr>
        <w:t xml:space="preserve">as well as other more recent methodology recommendations (including the Brazilian consensus guidelines) </w:t>
      </w:r>
      <w:r>
        <w:rPr>
          <w:noProof/>
          <w:lang w:val="en-US"/>
        </w:rPr>
        <w:t>(58, 117)</w:t>
      </w:r>
      <w:r>
        <w:rPr>
          <w:i/>
          <w:sz w:val="16"/>
          <w:szCs w:val="16"/>
          <w:lang w:val="en-US"/>
        </w:rPr>
        <w:t>.</w:t>
      </w:r>
      <w:r w:rsidRPr="00520AC8">
        <w:rPr>
          <w:i/>
          <w:sz w:val="16"/>
          <w:szCs w:val="16"/>
          <w:lang w:val="en-CA"/>
        </w:rPr>
        <w:t>.</w:t>
      </w:r>
      <w:r w:rsidRPr="00520AC8">
        <w:rPr>
          <w:lang w:val="en-US"/>
        </w:rPr>
        <w:t xml:space="preserve"> </w:t>
      </w:r>
      <w:r w:rsidRPr="00520AC8">
        <w:rPr>
          <w:lang w:val="en-CA"/>
        </w:rPr>
        <w:t xml:space="preserve">Consensus consists also on the importance of analyzing at least one low positive sample near the cut-off </w:t>
      </w:r>
      <w:r>
        <w:rPr>
          <w:noProof/>
          <w:lang w:val="en-CA"/>
        </w:rPr>
        <w:t>(41, 116, 117)</w:t>
      </w:r>
      <w:r w:rsidRPr="00520AC8">
        <w:rPr>
          <w:lang w:val="en-CA"/>
        </w:rPr>
        <w:t xml:space="preserve">. In contrast, an exact target titer for this low positive QC sample (1/80 – 1/160) is only suggested in one of these guidelines </w:t>
      </w:r>
      <w:r>
        <w:rPr>
          <w:noProof/>
          <w:lang w:val="en-CA"/>
        </w:rPr>
        <w:t>(117)</w:t>
      </w:r>
      <w:r w:rsidRPr="00520AC8">
        <w:rPr>
          <w:i/>
          <w:sz w:val="16"/>
          <w:szCs w:val="16"/>
          <w:lang w:val="en-CA"/>
        </w:rPr>
        <w:t xml:space="preserve">. </w:t>
      </w:r>
      <w:r w:rsidRPr="00520AC8">
        <w:rPr>
          <w:lang w:val="en-CA"/>
        </w:rPr>
        <w:t xml:space="preserve">An older version of the CLSI (former NCCLS) guidelines on </w:t>
      </w:r>
      <w:r>
        <w:rPr>
          <w:lang w:val="en-CA"/>
        </w:rPr>
        <w:t>HEP-2 IIF</w:t>
      </w:r>
      <w:r w:rsidRPr="00520AC8">
        <w:rPr>
          <w:lang w:val="en-CA"/>
        </w:rPr>
        <w:t xml:space="preserve"> analysis defines the preferred titer of the QC material as one dilution beyond the cut-off point in relation to the applied cut-off value </w:t>
      </w:r>
      <w:r>
        <w:rPr>
          <w:noProof/>
          <w:lang w:val="en-CA"/>
        </w:rPr>
        <w:t>(40)</w:t>
      </w:r>
      <w:r w:rsidRPr="00520AC8">
        <w:rPr>
          <w:i/>
          <w:sz w:val="16"/>
          <w:szCs w:val="16"/>
          <w:lang w:val="en-CA"/>
        </w:rPr>
        <w:t>.</w:t>
      </w:r>
      <w:r w:rsidRPr="00520AC8">
        <w:rPr>
          <w:lang w:val="en-CA"/>
        </w:rPr>
        <w:t xml:space="preserve"> The more recent 2006 version of the CLSI recommendation</w:t>
      </w:r>
      <w:r>
        <w:rPr>
          <w:lang w:val="en-CA"/>
        </w:rPr>
        <w:t xml:space="preserve"> (CLSI </w:t>
      </w:r>
      <w:r w:rsidRPr="00D711E0">
        <w:rPr>
          <w:sz w:val="24"/>
          <w:szCs w:val="24"/>
          <w:lang w:val="en-US"/>
        </w:rPr>
        <w:t>LA02-A2</w:t>
      </w:r>
      <w:r>
        <w:rPr>
          <w:sz w:val="24"/>
          <w:szCs w:val="24"/>
          <w:lang w:val="en-US"/>
        </w:rPr>
        <w:t>)</w:t>
      </w:r>
      <w:r w:rsidRPr="00520AC8">
        <w:rPr>
          <w:lang w:val="en-CA"/>
        </w:rPr>
        <w:t xml:space="preserve">, including guidelines for both IIF and ELISA, states that the positive control should be chosen at a level that is important for clinical decision making </w:t>
      </w:r>
      <w:r>
        <w:rPr>
          <w:noProof/>
          <w:lang w:val="en-CA"/>
        </w:rPr>
        <w:t>(41)</w:t>
      </w:r>
      <w:r w:rsidRPr="00520AC8">
        <w:rPr>
          <w:lang w:val="en-CA"/>
        </w:rPr>
        <w:t>. Translat</w:t>
      </w:r>
      <w:r>
        <w:rPr>
          <w:lang w:val="en-CA"/>
        </w:rPr>
        <w:t>ing</w:t>
      </w:r>
      <w:r w:rsidRPr="00520AC8">
        <w:rPr>
          <w:lang w:val="en-CA"/>
        </w:rPr>
        <w:t xml:space="preserve"> this latter into the concept of applying/reporting </w:t>
      </w:r>
      <w:r w:rsidRPr="00520AC8">
        <w:rPr>
          <w:lang w:val="en-US"/>
        </w:rPr>
        <w:t>titer</w:t>
      </w:r>
      <w:r>
        <w:rPr>
          <w:lang w:val="en-US"/>
        </w:rPr>
        <w:t>-</w:t>
      </w:r>
      <w:r w:rsidRPr="00520AC8">
        <w:rPr>
          <w:lang w:val="en-US"/>
        </w:rPr>
        <w:t xml:space="preserve">specific LR for ANA-associated rheumatic diseases, we recommend matching the target titer of the low positive control sample to a LR of 2 to 5 for ANA-associated rheumatic diseases (as this LR suggests small but potentially relevant clinically </w:t>
      </w:r>
      <w:r>
        <w:rPr>
          <w:lang w:val="en-US"/>
        </w:rPr>
        <w:t xml:space="preserve">important </w:t>
      </w:r>
      <w:r w:rsidRPr="00520AC8">
        <w:rPr>
          <w:lang w:val="en-US"/>
        </w:rPr>
        <w:t xml:space="preserve">differences). This would correspond to a titer of 1:160 for HEp-2000 substrate </w:t>
      </w:r>
      <w:r>
        <w:rPr>
          <w:noProof/>
          <w:lang w:val="en-US"/>
        </w:rPr>
        <w:t>(14)</w:t>
      </w:r>
      <w:r w:rsidRPr="00520AC8">
        <w:rPr>
          <w:lang w:val="en-US"/>
        </w:rPr>
        <w:t xml:space="preserve"> or a LIU (light intensity unit) of 522-910 (LR of 5.2) with Inova HEp-2 substrate on Nova View CAD</w:t>
      </w:r>
      <w:r>
        <w:rPr>
          <w:noProof/>
          <w:lang w:val="en-US"/>
        </w:rPr>
        <w:t>(15)</w:t>
      </w:r>
      <w:r w:rsidRPr="007F1DB9">
        <w:rPr>
          <w:i/>
          <w:sz w:val="16"/>
          <w:szCs w:val="16"/>
          <w:lang w:val="en-CA"/>
        </w:rPr>
        <w:t xml:space="preserve">.   </w:t>
      </w:r>
    </w:p>
    <w:p w:rsidR="003D11BA" w:rsidRPr="001E200A" w:rsidRDefault="003D11BA" w:rsidP="00212E31">
      <w:pPr>
        <w:spacing w:before="240" w:line="240" w:lineRule="auto"/>
        <w:jc w:val="both"/>
        <w:rPr>
          <w:i/>
          <w:lang w:val="en-CA"/>
        </w:rPr>
      </w:pPr>
      <w:r>
        <w:rPr>
          <w:i/>
          <w:lang w:val="en-CA"/>
        </w:rPr>
        <w:t>Origin of the IQC samples</w:t>
      </w:r>
    </w:p>
    <w:p w:rsidR="003D11BA" w:rsidRPr="00A80EEF" w:rsidRDefault="003D11BA" w:rsidP="00212E31">
      <w:pPr>
        <w:spacing w:before="240" w:line="240" w:lineRule="auto"/>
        <w:jc w:val="both"/>
        <w:rPr>
          <w:lang w:val="en-CA"/>
        </w:rPr>
      </w:pPr>
      <w:r>
        <w:rPr>
          <w:lang w:val="en-CA"/>
        </w:rPr>
        <w:t xml:space="preserve">The selection of IQC samples with known patterns/specificity and fluorescence intensity is advised </w:t>
      </w:r>
      <w:r>
        <w:rPr>
          <w:noProof/>
          <w:lang w:val="en-CA"/>
        </w:rPr>
        <w:t>(117)</w:t>
      </w:r>
      <w:r>
        <w:rPr>
          <w:lang w:val="en-CA"/>
        </w:rPr>
        <w:t xml:space="preserve">. In practice, most kits provide a positive and negative kit IQC fulfilling this criterion. However, these kit controls may not be ideal for several reasons. First, as they are often strongly positive and ‘really’ negative, they characterize the extremes that are not representative of most routine samples and </w:t>
      </w:r>
      <w:r w:rsidRPr="00520AC8">
        <w:rPr>
          <w:lang w:val="en-CA"/>
        </w:rPr>
        <w:t xml:space="preserve">do not pick up minor analytical problems </w:t>
      </w:r>
      <w:r>
        <w:rPr>
          <w:noProof/>
          <w:lang w:val="en-CA"/>
        </w:rPr>
        <w:t>(117)</w:t>
      </w:r>
      <w:r w:rsidRPr="00520AC8">
        <w:rPr>
          <w:lang w:val="en-CA"/>
        </w:rPr>
        <w:t xml:space="preserve">. Secondly, they are often ‘ready to use’ and do not require pre-dilution and, thus, they do not cover the whole analytical process </w:t>
      </w:r>
      <w:r>
        <w:rPr>
          <w:noProof/>
          <w:lang w:val="en-CA"/>
        </w:rPr>
        <w:t>(112)</w:t>
      </w:r>
      <w:r w:rsidRPr="00520AC8">
        <w:rPr>
          <w:lang w:val="en-CA"/>
        </w:rPr>
        <w:t>. Thirdly, in-kit controls might miss longevity, as it cannot be avoided that companies change their in-kit controls in an unpredictable way (</w:t>
      </w:r>
      <w:r w:rsidRPr="00357CAB">
        <w:rPr>
          <w:i/>
          <w:lang w:val="en-CA"/>
        </w:rPr>
        <w:t>e.g.</w:t>
      </w:r>
      <w:r w:rsidRPr="00520AC8">
        <w:rPr>
          <w:lang w:val="en-CA"/>
        </w:rPr>
        <w:t xml:space="preserve"> over different reagent lots) </w:t>
      </w:r>
      <w:r>
        <w:rPr>
          <w:noProof/>
          <w:lang w:val="en-CA"/>
        </w:rPr>
        <w:t>(116)</w:t>
      </w:r>
      <w:r w:rsidRPr="00520AC8">
        <w:rPr>
          <w:lang w:val="en-CA"/>
        </w:rPr>
        <w:t xml:space="preserve">. Therefore, undiluted patient-derived IQC samples (either pooled or single patient samples, which have been aliquoted [to limit the number of freeze–thaw cycles] and frozen at -80°C until analysis [allowing to last for </w:t>
      </w:r>
      <w:r>
        <w:rPr>
          <w:lang w:val="en-CA"/>
        </w:rPr>
        <w:t>a longer period</w:t>
      </w:r>
      <w:r w:rsidRPr="00520AC8">
        <w:rPr>
          <w:lang w:val="en-CA"/>
        </w:rPr>
        <w:t>]) are the preferred choice. Moreover</w:t>
      </w:r>
      <w:r>
        <w:rPr>
          <w:lang w:val="en-CA"/>
        </w:rPr>
        <w:t xml:space="preserve">, the latter were shown to be more sensitive compared to kit controls in a recent study monitoring the CAD specific FI as a QA indicator. Comparing both type of materials, in-kit controls proved of less significance as they were not able to highlight (artificially introduced) errors in contrast to the patient-derived IQC </w:t>
      </w:r>
      <w:r>
        <w:rPr>
          <w:noProof/>
          <w:lang w:val="en-CA"/>
        </w:rPr>
        <w:t>(112)</w:t>
      </w:r>
      <w:r>
        <w:rPr>
          <w:lang w:val="en-CA"/>
        </w:rPr>
        <w:t xml:space="preserve">. </w:t>
      </w:r>
    </w:p>
    <w:p w:rsidR="003D11BA" w:rsidRDefault="003D11BA" w:rsidP="00212E31">
      <w:pPr>
        <w:spacing w:before="240" w:line="240" w:lineRule="auto"/>
        <w:jc w:val="both"/>
        <w:rPr>
          <w:i/>
          <w:lang w:val="en-CA"/>
        </w:rPr>
      </w:pPr>
      <w:r>
        <w:rPr>
          <w:i/>
          <w:lang w:val="en-CA"/>
        </w:rPr>
        <w:t>P</w:t>
      </w:r>
      <w:r w:rsidRPr="00C1378F">
        <w:rPr>
          <w:i/>
          <w:lang w:val="en-CA"/>
        </w:rPr>
        <w:t xml:space="preserve">atterns </w:t>
      </w:r>
      <w:r>
        <w:rPr>
          <w:i/>
          <w:lang w:val="en-CA"/>
        </w:rPr>
        <w:t xml:space="preserve">/ specificity of the IQC </w:t>
      </w:r>
      <w:r w:rsidRPr="00C1378F">
        <w:rPr>
          <w:i/>
          <w:lang w:val="en-CA"/>
        </w:rPr>
        <w:t>samples</w:t>
      </w:r>
    </w:p>
    <w:p w:rsidR="003D11BA" w:rsidRPr="00A80EEF" w:rsidRDefault="003D11BA" w:rsidP="00212E31">
      <w:pPr>
        <w:spacing w:before="240" w:line="240" w:lineRule="auto"/>
        <w:jc w:val="both"/>
        <w:rPr>
          <w:lang w:val="en-CA"/>
        </w:rPr>
      </w:pPr>
      <w:r w:rsidRPr="00520AC8">
        <w:rPr>
          <w:lang w:val="en-CA"/>
        </w:rPr>
        <w:t xml:space="preserve">To our knowledge, only one guideline mentions further details on the ‘known’ specificity and/or patterns that should be selected for the positive IQC samples. The 2009 German EASI guidelines suggested the use of three positive serum samples with different fluorescence patterns resulting from defined antibody reactivity (e.g. centromeres, dsDNA, SSA) in alteration over the runs </w:t>
      </w:r>
      <w:r>
        <w:rPr>
          <w:noProof/>
          <w:lang w:val="en-CA"/>
        </w:rPr>
        <w:t>(118)</w:t>
      </w:r>
      <w:r w:rsidRPr="00520AC8">
        <w:rPr>
          <w:lang w:val="en-CA"/>
        </w:rPr>
        <w:t xml:space="preserve">. This strategy is also in line with the recent EASI best practice guidelines suggesting the IQC samples should cover as many antigens as possible </w:t>
      </w:r>
      <w:r>
        <w:rPr>
          <w:noProof/>
          <w:lang w:val="en-CA"/>
        </w:rPr>
        <w:t>(116)</w:t>
      </w:r>
      <w:r w:rsidRPr="00520AC8">
        <w:rPr>
          <w:lang w:val="en-CA"/>
        </w:rPr>
        <w:t>. Another strategy may be to select a high prevalent potentially precarious/fragile specificity such as SSA</w:t>
      </w:r>
      <w:r w:rsidRPr="00A80EEF">
        <w:rPr>
          <w:i/>
          <w:sz w:val="16"/>
          <w:szCs w:val="16"/>
          <w:highlight w:val="yellow"/>
          <w:lang w:val="en-CA"/>
        </w:rPr>
        <w:t>.</w:t>
      </w:r>
      <w:r w:rsidRPr="00520AC8">
        <w:rPr>
          <w:lang w:val="en-CA"/>
        </w:rPr>
        <w:t xml:space="preserve"> An alternative option, especially in view of the recent CAD developments and possibilities, would be the selection of a pattern that has shown high inter-assay reproducibility of the FI measure such as isolated speckled or homogeneous patterns </w:t>
      </w:r>
      <w:r>
        <w:rPr>
          <w:noProof/>
          <w:lang w:val="en-CA"/>
        </w:rPr>
        <w:t>(108, 112)</w:t>
      </w:r>
      <w:r w:rsidRPr="00520AC8">
        <w:rPr>
          <w:lang w:val="en-CA"/>
        </w:rPr>
        <w:t xml:space="preserve">. Of note, alternation of the IQC specificity/pattern over the consecutive runs </w:t>
      </w:r>
      <w:r>
        <w:rPr>
          <w:lang w:val="en-CA"/>
        </w:rPr>
        <w:t>encumbers</w:t>
      </w:r>
      <w:r w:rsidRPr="00520AC8">
        <w:rPr>
          <w:lang w:val="en-CA"/>
        </w:rPr>
        <w:t xml:space="preserve"> optimal us</w:t>
      </w:r>
      <w:r>
        <w:rPr>
          <w:lang w:val="en-CA"/>
        </w:rPr>
        <w:t xml:space="preserve">age of quantitative measures for QA provided by </w:t>
      </w:r>
      <w:r w:rsidRPr="00520AC8">
        <w:rPr>
          <w:lang w:val="en-CA"/>
        </w:rPr>
        <w:t xml:space="preserve">CAD </w:t>
      </w:r>
      <w:r>
        <w:rPr>
          <w:lang w:val="en-CA"/>
        </w:rPr>
        <w:t>systems</w:t>
      </w:r>
      <w:r w:rsidRPr="00520AC8">
        <w:rPr>
          <w:lang w:val="en-CA"/>
        </w:rPr>
        <w:t>.</w:t>
      </w:r>
    </w:p>
    <w:p w:rsidR="003D11BA" w:rsidRPr="002E054F" w:rsidRDefault="003D11BA" w:rsidP="00212E31">
      <w:pPr>
        <w:spacing w:before="240" w:line="240" w:lineRule="auto"/>
        <w:jc w:val="both"/>
        <w:rPr>
          <w:i/>
          <w:lang w:val="en-CA"/>
        </w:rPr>
      </w:pPr>
      <w:r>
        <w:rPr>
          <w:i/>
          <w:lang w:val="en-CA"/>
        </w:rPr>
        <w:t>M</w:t>
      </w:r>
      <w:r w:rsidRPr="002E054F">
        <w:rPr>
          <w:i/>
          <w:lang w:val="en-CA"/>
        </w:rPr>
        <w:t xml:space="preserve">ethodology of monitoring, registration and judging the </w:t>
      </w:r>
      <w:r>
        <w:rPr>
          <w:i/>
          <w:lang w:val="en-CA"/>
        </w:rPr>
        <w:t xml:space="preserve">IQC </w:t>
      </w:r>
      <w:r w:rsidRPr="002E054F">
        <w:rPr>
          <w:i/>
          <w:lang w:val="en-CA"/>
        </w:rPr>
        <w:t xml:space="preserve">results. </w:t>
      </w:r>
    </w:p>
    <w:p w:rsidR="003D11BA" w:rsidRPr="00F77A0A" w:rsidRDefault="003D11BA" w:rsidP="00212E31">
      <w:pPr>
        <w:spacing w:before="240" w:line="240" w:lineRule="auto"/>
        <w:jc w:val="both"/>
        <w:rPr>
          <w:i/>
          <w:sz w:val="16"/>
          <w:szCs w:val="16"/>
          <w:lang w:val="en-US"/>
        </w:rPr>
      </w:pPr>
      <w:r w:rsidRPr="00B7584A">
        <w:rPr>
          <w:lang w:val="en-CA"/>
        </w:rPr>
        <w:t>Traditi</w:t>
      </w:r>
      <w:r>
        <w:rPr>
          <w:lang w:val="en-CA"/>
        </w:rPr>
        <w:t xml:space="preserve">onally, IQC measurements in HEp-2 IIF are evaluated for their expected pattern and endpoint titer against predefined target values and criteria, not allowing </w:t>
      </w:r>
      <w:r w:rsidRPr="00A479D2">
        <w:rPr>
          <w:lang w:val="en-CA"/>
        </w:rPr>
        <w:t xml:space="preserve">&gt;1titer changes </w:t>
      </w:r>
      <w:r>
        <w:rPr>
          <w:lang w:val="en-CA"/>
        </w:rPr>
        <w:t xml:space="preserve"> and pattern deviations </w:t>
      </w:r>
      <w:r>
        <w:rPr>
          <w:noProof/>
          <w:lang w:val="en-CA"/>
        </w:rPr>
        <w:lastRenderedPageBreak/>
        <w:t>(41, 116)</w:t>
      </w:r>
      <w:r>
        <w:rPr>
          <w:lang w:val="en-CA"/>
        </w:rPr>
        <w:t xml:space="preserve">. The disadvantage of this approach is that it only allows for qualitative monitoring/judging. Recent advances with CAD systems have enabled semi-quantitative monitoring options using Levey-Jennings plots accompanied by Westgard rules </w:t>
      </w:r>
      <w:r>
        <w:rPr>
          <w:noProof/>
          <w:lang w:val="en-CA"/>
        </w:rPr>
        <w:t>(119)</w:t>
      </w:r>
      <w:r w:rsidRPr="00AB6FFB">
        <w:rPr>
          <w:i/>
          <w:sz w:val="16"/>
          <w:szCs w:val="16"/>
          <w:lang w:val="en-CA"/>
        </w:rPr>
        <w:t>,</w:t>
      </w:r>
      <w:r>
        <w:rPr>
          <w:lang w:val="en-CA"/>
        </w:rPr>
        <w:t xml:space="preserve"> as shown in several studies using the reproducible system-specific FI measures as a basis </w:t>
      </w:r>
      <w:r>
        <w:rPr>
          <w:noProof/>
          <w:lang w:val="en-CA"/>
        </w:rPr>
        <w:t>(112, 114)</w:t>
      </w:r>
      <w:r w:rsidRPr="00A13382">
        <w:rPr>
          <w:i/>
          <w:sz w:val="16"/>
          <w:szCs w:val="16"/>
          <w:lang w:val="en-CA"/>
        </w:rPr>
        <w:t>.</w:t>
      </w:r>
      <w:r>
        <w:rPr>
          <w:lang w:val="en-CA"/>
        </w:rPr>
        <w:t xml:space="preserve"> This approach showed improved sensitivity in detecting pre-analytical and analytical problems compared to the traditional qualitative/semi-quantitative approaches such as qualitative monitoring of IQC samples</w:t>
      </w:r>
      <w:r>
        <w:rPr>
          <w:noProof/>
          <w:lang w:val="en-CA"/>
        </w:rPr>
        <w:t>(114)</w:t>
      </w:r>
      <w:r>
        <w:rPr>
          <w:lang w:val="en-CA"/>
        </w:rPr>
        <w:t xml:space="preserve"> and monitoring of the % positive patient samples per month </w:t>
      </w:r>
      <w:r>
        <w:rPr>
          <w:noProof/>
          <w:lang w:val="en-CA"/>
        </w:rPr>
        <w:t>(112, 114)</w:t>
      </w:r>
      <w:r>
        <w:rPr>
          <w:i/>
          <w:sz w:val="16"/>
          <w:szCs w:val="16"/>
          <w:lang w:val="en-CA"/>
        </w:rPr>
        <w:t xml:space="preserve">. </w:t>
      </w:r>
      <w:r>
        <w:rPr>
          <w:lang w:val="en-CA"/>
        </w:rPr>
        <w:t xml:space="preserve"> Moreover, this approach allows for the analysis of the IQC samples in a single dilution instead of performing an end-point titration. </w:t>
      </w:r>
    </w:p>
    <w:p w:rsidR="003D11BA" w:rsidRPr="00F77A0A" w:rsidRDefault="003D11BA" w:rsidP="00212E31">
      <w:pPr>
        <w:spacing w:after="120" w:line="240" w:lineRule="auto"/>
        <w:rPr>
          <w:b/>
          <w:color w:val="000000" w:themeColor="text1"/>
          <w:lang w:val="en-CA"/>
        </w:rPr>
      </w:pPr>
      <w:r w:rsidRPr="00F77A0A">
        <w:rPr>
          <w:b/>
          <w:color w:val="000000" w:themeColor="text1"/>
          <w:lang w:val="en-CA"/>
        </w:rPr>
        <w:t xml:space="preserve">Training and controlling inter-observer variability </w:t>
      </w:r>
    </w:p>
    <w:p w:rsidR="003D11BA" w:rsidRPr="00B62A20" w:rsidRDefault="003D11BA" w:rsidP="00212E31">
      <w:pPr>
        <w:spacing w:before="240" w:line="240" w:lineRule="auto"/>
        <w:jc w:val="both"/>
        <w:rPr>
          <w:color w:val="000000" w:themeColor="text1"/>
          <w:lang w:val="en-CA"/>
        </w:rPr>
      </w:pPr>
      <w:r>
        <w:rPr>
          <w:lang w:val="en-CA"/>
        </w:rPr>
        <w:t xml:space="preserve">To ensure homogeneity in HEP-2 IIF reading, technicians who read the slides should receive regular training and evaluations.  This can be organized internally as </w:t>
      </w:r>
      <w:r w:rsidRPr="006927DA">
        <w:rPr>
          <w:lang w:val="en-CA"/>
        </w:rPr>
        <w:t>well as externally. Moreover, in some countries documentation on the inter-observer variability should also be included in the verification report</w:t>
      </w:r>
      <w:r>
        <w:rPr>
          <w:lang w:val="en-CA"/>
        </w:rPr>
        <w:t xml:space="preserve"> </w:t>
      </w:r>
      <w:r>
        <w:rPr>
          <w:noProof/>
          <w:lang w:val="en-CA"/>
        </w:rPr>
        <w:t>(120)</w:t>
      </w:r>
      <w:r w:rsidRPr="006927DA">
        <w:rPr>
          <w:lang w:val="en-CA"/>
        </w:rPr>
        <w:t>. One approach that has been suggested is the internal organisation of regular sessions in which analysts blindly read slides with samples with various</w:t>
      </w:r>
      <w:r>
        <w:rPr>
          <w:lang w:val="en-CA"/>
        </w:rPr>
        <w:t xml:space="preserve"> patterns and titers </w:t>
      </w:r>
      <w:r>
        <w:rPr>
          <w:noProof/>
          <w:lang w:val="en-CA"/>
        </w:rPr>
        <w:t>(117)</w:t>
      </w:r>
      <w:r>
        <w:rPr>
          <w:lang w:val="en-CA"/>
        </w:rPr>
        <w:t xml:space="preserve">. CAD systems generating high quality digital images enable to organize such reviews on a wider level (e.g. national EQC assessments in Belgium). The frequency of these ‘observer’ trainings/reviews as well as the requirements of these training sessions should be defined and may be dependent on national regulations (e.g. in Germany 4 internal trainings/year). Moreover, these trainings should not be limited to analytical competence but should also </w:t>
      </w:r>
      <w:r w:rsidRPr="00B62A20">
        <w:rPr>
          <w:color w:val="000000" w:themeColor="text1"/>
          <w:lang w:val="en-CA"/>
        </w:rPr>
        <w:t xml:space="preserve">include training on how to interpret the data in a clinical context </w:t>
      </w:r>
      <w:r>
        <w:rPr>
          <w:noProof/>
          <w:color w:val="000000" w:themeColor="text1"/>
          <w:lang w:val="en-CA"/>
        </w:rPr>
        <w:t>(116)</w:t>
      </w:r>
      <w:r w:rsidRPr="00B62A20">
        <w:rPr>
          <w:color w:val="000000" w:themeColor="text1"/>
          <w:lang w:val="en-CA"/>
        </w:rPr>
        <w:t>. Homogeneity of HEp-2 IIF reading is also further improved by the application of double (blinded) reading of the slides</w:t>
      </w:r>
      <w:r>
        <w:rPr>
          <w:color w:val="000000" w:themeColor="text1"/>
          <w:lang w:val="en-CA"/>
        </w:rPr>
        <w:t xml:space="preserve"> </w:t>
      </w:r>
      <w:r>
        <w:rPr>
          <w:noProof/>
          <w:color w:val="000000" w:themeColor="text1"/>
          <w:lang w:val="en-CA"/>
        </w:rPr>
        <w:t>(121)</w:t>
      </w:r>
      <w:r w:rsidRPr="00B62A20">
        <w:rPr>
          <w:i/>
          <w:color w:val="000000" w:themeColor="text1"/>
          <w:sz w:val="16"/>
          <w:szCs w:val="16"/>
          <w:lang w:val="en-CA"/>
        </w:rPr>
        <w:t xml:space="preserve"> </w:t>
      </w:r>
      <w:r w:rsidRPr="00B62A20">
        <w:rPr>
          <w:color w:val="000000" w:themeColor="text1"/>
          <w:lang w:val="en-CA"/>
        </w:rPr>
        <w:t xml:space="preserve">and the use of ICAP nomenclature (including the introduction of the AC-29 pattern associated with antibodies to DNA topoisomerase I </w:t>
      </w:r>
      <w:r>
        <w:rPr>
          <w:noProof/>
          <w:color w:val="000000" w:themeColor="text1"/>
          <w:lang w:val="en-CA"/>
        </w:rPr>
        <w:t>(69)</w:t>
      </w:r>
      <w:r w:rsidRPr="00B62A20">
        <w:rPr>
          <w:color w:val="000000" w:themeColor="text1"/>
          <w:lang w:val="en-CA"/>
        </w:rPr>
        <w:t>. In one study</w:t>
      </w:r>
      <w:r>
        <w:rPr>
          <w:color w:val="000000" w:themeColor="text1"/>
          <w:lang w:val="en-CA"/>
        </w:rPr>
        <w:t>,</w:t>
      </w:r>
      <w:r w:rsidRPr="00B62A20">
        <w:rPr>
          <w:color w:val="000000" w:themeColor="text1"/>
          <w:lang w:val="en-CA"/>
        </w:rPr>
        <w:t xml:space="preserve"> homogeneity on fluorescence intensity evaluation between observers also improved when using a CAD monitor instead of a classic microscope </w:t>
      </w:r>
      <w:r>
        <w:rPr>
          <w:noProof/>
          <w:color w:val="000000" w:themeColor="text1"/>
          <w:lang w:val="en-CA"/>
        </w:rPr>
        <w:t>(122)</w:t>
      </w:r>
      <w:r w:rsidRPr="00B62A20">
        <w:rPr>
          <w:i/>
          <w:color w:val="000000" w:themeColor="text1"/>
          <w:sz w:val="16"/>
          <w:szCs w:val="16"/>
          <w:lang w:val="en-CA"/>
        </w:rPr>
        <w:t xml:space="preserve">.  </w:t>
      </w:r>
      <w:r w:rsidRPr="00B62A20">
        <w:rPr>
          <w:color w:val="000000" w:themeColor="text1"/>
          <w:lang w:val="en-CA"/>
        </w:rPr>
        <w:t>In contrast, the improvement was less pronounced for pattern classification, probably related to the inability for sharp focussing using a CAD monitor</w:t>
      </w:r>
      <w:r>
        <w:rPr>
          <w:color w:val="000000" w:themeColor="text1"/>
          <w:lang w:val="en-CA"/>
        </w:rPr>
        <w:t xml:space="preserve"> </w:t>
      </w:r>
      <w:r>
        <w:rPr>
          <w:noProof/>
          <w:color w:val="000000" w:themeColor="text1"/>
          <w:lang w:val="en-CA"/>
        </w:rPr>
        <w:t>(122)</w:t>
      </w:r>
      <w:r w:rsidRPr="00B62A20">
        <w:rPr>
          <w:color w:val="000000" w:themeColor="text1"/>
          <w:lang w:val="en-CA"/>
        </w:rPr>
        <w:t>.</w:t>
      </w:r>
    </w:p>
    <w:p w:rsidR="003D11BA" w:rsidRPr="004D75A8" w:rsidRDefault="003D11BA" w:rsidP="00212E31">
      <w:pPr>
        <w:spacing w:before="240" w:line="240" w:lineRule="auto"/>
        <w:jc w:val="both"/>
        <w:rPr>
          <w:b/>
          <w:lang w:val="en-CA"/>
        </w:rPr>
      </w:pPr>
      <w:r w:rsidRPr="004D75A8">
        <w:rPr>
          <w:b/>
          <w:lang w:val="en-CA"/>
        </w:rPr>
        <w:t>External quality assessment</w:t>
      </w:r>
    </w:p>
    <w:p w:rsidR="003D11BA" w:rsidRPr="00525552" w:rsidRDefault="003D11BA" w:rsidP="00212E31">
      <w:pPr>
        <w:spacing w:before="240" w:line="240" w:lineRule="auto"/>
        <w:jc w:val="both"/>
        <w:rPr>
          <w:sz w:val="16"/>
          <w:szCs w:val="16"/>
          <w:lang w:val="en-US"/>
        </w:rPr>
      </w:pPr>
      <w:r>
        <w:rPr>
          <w:lang w:val="en-CA"/>
        </w:rPr>
        <w:t xml:space="preserve">External quality assessment programs (EQA) for HEP-2 IIF (often combined with anti-ENA analysis) monitor inter-laboratory variability </w:t>
      </w:r>
      <w:r>
        <w:rPr>
          <w:noProof/>
          <w:lang w:val="en-CA"/>
        </w:rPr>
        <w:t>(41, 58)</w:t>
      </w:r>
      <w:r>
        <w:rPr>
          <w:lang w:val="en-CA"/>
        </w:rPr>
        <w:t xml:space="preserve">.  By providing advice to the participating laboratories, EQAs have shown a positive impact on HEP-2 IIF </w:t>
      </w:r>
      <w:r w:rsidRPr="0061572E">
        <w:rPr>
          <w:lang w:val="en-CA"/>
        </w:rPr>
        <w:t xml:space="preserve">performance </w:t>
      </w:r>
      <w:r>
        <w:rPr>
          <w:noProof/>
          <w:lang w:val="en-CA"/>
        </w:rPr>
        <w:t>(123)</w:t>
      </w:r>
      <w:r w:rsidRPr="002023F1">
        <w:rPr>
          <w:i/>
          <w:sz w:val="16"/>
          <w:szCs w:val="16"/>
          <w:lang w:val="en-CA"/>
        </w:rPr>
        <w:t>.</w:t>
      </w:r>
      <w:r>
        <w:rPr>
          <w:i/>
          <w:sz w:val="16"/>
          <w:szCs w:val="16"/>
          <w:lang w:val="en-CA"/>
        </w:rPr>
        <w:t xml:space="preserve"> </w:t>
      </w:r>
      <w:r>
        <w:rPr>
          <w:lang w:val="en-CA"/>
        </w:rPr>
        <w:t>The frequency and character (e.g. voluntary vs. obligatory) of EQA participations should be defined by national regulations.</w:t>
      </w:r>
    </w:p>
    <w:p w:rsidR="003D11BA" w:rsidRPr="004D75A8" w:rsidRDefault="003D11BA" w:rsidP="00212E31">
      <w:pPr>
        <w:spacing w:before="240" w:line="240" w:lineRule="auto"/>
        <w:jc w:val="both"/>
        <w:rPr>
          <w:b/>
          <w:lang w:val="en-CA"/>
        </w:rPr>
      </w:pPr>
      <w:r w:rsidRPr="004D75A8">
        <w:rPr>
          <w:b/>
          <w:lang w:val="en-CA"/>
        </w:rPr>
        <w:t>QC approaches based on patient results</w:t>
      </w:r>
    </w:p>
    <w:p w:rsidR="003D11BA" w:rsidRDefault="003D11BA" w:rsidP="00212E31">
      <w:pPr>
        <w:spacing w:before="240" w:line="240" w:lineRule="auto"/>
        <w:jc w:val="both"/>
        <w:rPr>
          <w:lang w:val="en-CA"/>
        </w:rPr>
      </w:pPr>
      <w:r>
        <w:rPr>
          <w:lang w:val="en-CA"/>
        </w:rPr>
        <w:t>Monitoring the frequencies of test results that fall in different reference range categories (e.g. negative, borderline, positive) may detect changes related to the introduction</w:t>
      </w:r>
      <w:r w:rsidDel="00797584">
        <w:rPr>
          <w:lang w:val="en-CA"/>
        </w:rPr>
        <w:t xml:space="preserve"> </w:t>
      </w:r>
      <w:r>
        <w:rPr>
          <w:lang w:val="en-CA"/>
        </w:rPr>
        <w:t xml:space="preserve">of new lots of test reagents </w:t>
      </w:r>
      <w:r>
        <w:rPr>
          <w:noProof/>
          <w:lang w:val="en-CA"/>
        </w:rPr>
        <w:t>(41)</w:t>
      </w:r>
      <w:r>
        <w:rPr>
          <w:i/>
          <w:sz w:val="16"/>
          <w:szCs w:val="16"/>
          <w:lang w:val="en-CA"/>
        </w:rPr>
        <w:t xml:space="preserve">.  </w:t>
      </w:r>
      <w:r>
        <w:rPr>
          <w:lang w:val="en-CA"/>
        </w:rPr>
        <w:t xml:space="preserve">CAD systems also allow to monitor patient medians of the system-specific FI measures generated in each run, an approach which has proven to be useful </w:t>
      </w:r>
      <w:r>
        <w:rPr>
          <w:noProof/>
          <w:lang w:val="en-CA"/>
        </w:rPr>
        <w:t>(112, 114)</w:t>
      </w:r>
      <w:r w:rsidRPr="00525552">
        <w:rPr>
          <w:i/>
          <w:sz w:val="16"/>
          <w:szCs w:val="16"/>
          <w:lang w:val="en-CA"/>
        </w:rPr>
        <w:t>.</w:t>
      </w:r>
      <w:r>
        <w:rPr>
          <w:lang w:val="en-CA"/>
        </w:rPr>
        <w:t xml:space="preserve">   </w:t>
      </w:r>
    </w:p>
    <w:p w:rsidR="003D11BA" w:rsidRPr="0095250E" w:rsidRDefault="003D11BA" w:rsidP="00212E31">
      <w:pPr>
        <w:spacing w:line="240" w:lineRule="auto"/>
        <w:rPr>
          <w:sz w:val="16"/>
          <w:szCs w:val="16"/>
          <w:lang w:val="en-US"/>
        </w:rPr>
      </w:pPr>
    </w:p>
    <w:tbl>
      <w:tblPr>
        <w:tblStyle w:val="TableGrid"/>
        <w:tblW w:w="0" w:type="auto"/>
        <w:shd w:val="clear" w:color="auto" w:fill="E7E6E6" w:themeFill="background2"/>
        <w:tblLook w:val="04A0" w:firstRow="1" w:lastRow="0" w:firstColumn="1" w:lastColumn="0" w:noHBand="0" w:noVBand="1"/>
      </w:tblPr>
      <w:tblGrid>
        <w:gridCol w:w="9062"/>
      </w:tblGrid>
      <w:tr w:rsidR="003D11BA" w:rsidRPr="00CA415F" w:rsidTr="00212E31">
        <w:tc>
          <w:tcPr>
            <w:tcW w:w="9062" w:type="dxa"/>
            <w:shd w:val="clear" w:color="auto" w:fill="F2F2F2" w:themeFill="background1" w:themeFillShade="F2"/>
          </w:tcPr>
          <w:p w:rsidR="003D11BA" w:rsidRPr="00427BEF" w:rsidRDefault="003D11BA" w:rsidP="00212E31">
            <w:pPr>
              <w:rPr>
                <w:i/>
                <w:color w:val="000000" w:themeColor="text1"/>
                <w:lang w:val="en-US"/>
              </w:rPr>
            </w:pPr>
          </w:p>
          <w:p w:rsidR="003D11BA" w:rsidRPr="00525552" w:rsidRDefault="003D11BA" w:rsidP="00212E31">
            <w:pPr>
              <w:rPr>
                <w:i/>
                <w:color w:val="000000" w:themeColor="text1"/>
                <w:lang w:val="en-CA"/>
              </w:rPr>
            </w:pPr>
            <w:r w:rsidRPr="00525552">
              <w:rPr>
                <w:i/>
                <w:color w:val="000000" w:themeColor="text1"/>
                <w:lang w:val="en-CA"/>
              </w:rPr>
              <w:t xml:space="preserve">Performance of HEP-2 IIF should be assured by educational programs and evaluated by internal (inter-observer variation) and external quality assessment programs. </w:t>
            </w:r>
          </w:p>
          <w:p w:rsidR="003D11BA" w:rsidRPr="00525552" w:rsidRDefault="003D11BA" w:rsidP="00212E31">
            <w:pPr>
              <w:rPr>
                <w:i/>
                <w:color w:val="000000" w:themeColor="text1"/>
                <w:lang w:val="en-CA"/>
              </w:rPr>
            </w:pPr>
          </w:p>
          <w:p w:rsidR="003D11BA" w:rsidRPr="00525552" w:rsidRDefault="003D11BA" w:rsidP="00212E31">
            <w:pPr>
              <w:rPr>
                <w:i/>
                <w:color w:val="000000" w:themeColor="text1"/>
                <w:lang w:val="en-CA"/>
              </w:rPr>
            </w:pPr>
            <w:r w:rsidRPr="00525552">
              <w:rPr>
                <w:i/>
                <w:color w:val="000000" w:themeColor="text1"/>
                <w:lang w:val="en-CA"/>
              </w:rPr>
              <w:t>Factors minimizing HEP-2 IIF inter-observer variation include application of double reading, usage of ICAP nomenclature and CAP monitor reading.</w:t>
            </w:r>
          </w:p>
          <w:p w:rsidR="003D11BA" w:rsidRPr="00525552" w:rsidRDefault="003D11BA" w:rsidP="00212E31">
            <w:pPr>
              <w:ind w:right="-113"/>
              <w:rPr>
                <w:i/>
                <w:lang w:val="en-CA"/>
              </w:rPr>
            </w:pPr>
          </w:p>
          <w:p w:rsidR="003D11BA" w:rsidRPr="00525552" w:rsidRDefault="003D11BA" w:rsidP="00212E31">
            <w:pPr>
              <w:ind w:right="-113"/>
              <w:rPr>
                <w:i/>
                <w:lang w:val="en-CA"/>
              </w:rPr>
            </w:pPr>
            <w:r w:rsidRPr="00525552">
              <w:rPr>
                <w:i/>
                <w:lang w:val="en-CA"/>
              </w:rPr>
              <w:t xml:space="preserve">At least 2 iQC samples (one negative and one low positive [ with a target level matching a </w:t>
            </w:r>
            <w:r w:rsidRPr="00525552">
              <w:rPr>
                <w:i/>
                <w:lang w:val="en-US"/>
              </w:rPr>
              <w:t>LR of 2 to 5 for ANA-associated rheumatic diseases</w:t>
            </w:r>
            <w:r w:rsidRPr="00525552">
              <w:rPr>
                <w:i/>
                <w:lang w:val="en-CA"/>
              </w:rPr>
              <w:t>]) should be included in each run and judged semi-quantitatively (either by end-point titration or automated intensity scoring)</w:t>
            </w:r>
          </w:p>
          <w:p w:rsidR="003D11BA" w:rsidRPr="006C4806" w:rsidRDefault="003D11BA" w:rsidP="00212E31">
            <w:pPr>
              <w:ind w:right="-113"/>
              <w:rPr>
                <w:lang w:val="en-CA"/>
              </w:rPr>
            </w:pPr>
          </w:p>
          <w:p w:rsidR="003D11BA" w:rsidRPr="006C4806" w:rsidRDefault="003D11BA" w:rsidP="00212E31">
            <w:pPr>
              <w:rPr>
                <w:i/>
                <w:lang w:val="en-CA"/>
              </w:rPr>
            </w:pPr>
            <w:r w:rsidRPr="006C4806">
              <w:rPr>
                <w:i/>
                <w:lang w:val="en-CA"/>
              </w:rPr>
              <w:t>The IQC samples are preferabl</w:t>
            </w:r>
            <w:r>
              <w:rPr>
                <w:i/>
                <w:lang w:val="en-CA"/>
              </w:rPr>
              <w:t>y</w:t>
            </w:r>
            <w:r w:rsidRPr="006C4806">
              <w:rPr>
                <w:i/>
                <w:lang w:val="en-CA"/>
              </w:rPr>
              <w:t xml:space="preserve"> of patient origin, either pooled or unique samples</w:t>
            </w:r>
          </w:p>
          <w:p w:rsidR="003D11BA" w:rsidRPr="006C4806" w:rsidRDefault="003D11BA" w:rsidP="00212E31">
            <w:pPr>
              <w:rPr>
                <w:i/>
                <w:lang w:val="en-CA"/>
              </w:rPr>
            </w:pPr>
          </w:p>
          <w:p w:rsidR="003D11BA" w:rsidRPr="006C4806" w:rsidRDefault="003D11BA" w:rsidP="00212E31">
            <w:pPr>
              <w:rPr>
                <w:i/>
                <w:lang w:val="en-CA"/>
              </w:rPr>
            </w:pPr>
            <w:r w:rsidRPr="006C4806">
              <w:rPr>
                <w:i/>
                <w:lang w:val="en-CA"/>
              </w:rPr>
              <w:t xml:space="preserve">The IQC samples should be prepared as patient samples </w:t>
            </w:r>
            <w:r>
              <w:rPr>
                <w:i/>
                <w:lang w:val="en-CA"/>
              </w:rPr>
              <w:t xml:space="preserve">(thus also diluted) </w:t>
            </w:r>
            <w:r w:rsidRPr="006C4806">
              <w:rPr>
                <w:i/>
                <w:lang w:val="en-CA"/>
              </w:rPr>
              <w:t>to allow monitoring of the whole assay procedure</w:t>
            </w:r>
          </w:p>
          <w:p w:rsidR="003D11BA" w:rsidRPr="006C4806" w:rsidRDefault="003D11BA" w:rsidP="00212E31">
            <w:pPr>
              <w:rPr>
                <w:i/>
                <w:lang w:val="en-CA"/>
              </w:rPr>
            </w:pPr>
          </w:p>
          <w:p w:rsidR="003D11BA" w:rsidRPr="006C4806" w:rsidRDefault="003D11BA" w:rsidP="00212E31">
            <w:pPr>
              <w:rPr>
                <w:i/>
                <w:lang w:val="en-CA"/>
              </w:rPr>
            </w:pPr>
            <w:r w:rsidRPr="006C4806">
              <w:rPr>
                <w:i/>
                <w:lang w:val="en-CA"/>
              </w:rPr>
              <w:t xml:space="preserve">The preferred </w:t>
            </w:r>
            <w:r>
              <w:rPr>
                <w:i/>
                <w:lang w:val="en-CA"/>
              </w:rPr>
              <w:t xml:space="preserve">pattern / </w:t>
            </w:r>
            <w:r w:rsidRPr="006C4806">
              <w:rPr>
                <w:i/>
                <w:lang w:val="en-CA"/>
              </w:rPr>
              <w:t>reactivity of the positive control sample is isolated homogeneous or speckled (optionally with documented SSA specificity)</w:t>
            </w:r>
          </w:p>
          <w:p w:rsidR="003D11BA" w:rsidRDefault="003D11BA" w:rsidP="00212E31">
            <w:pPr>
              <w:rPr>
                <w:i/>
                <w:lang w:val="en-CA"/>
              </w:rPr>
            </w:pPr>
          </w:p>
          <w:p w:rsidR="003D11BA" w:rsidRPr="00CD4B55" w:rsidRDefault="003D11BA" w:rsidP="00212E31">
            <w:pPr>
              <w:rPr>
                <w:i/>
                <w:lang w:val="en-CA"/>
              </w:rPr>
            </w:pPr>
            <w:r w:rsidRPr="00CD4B55">
              <w:rPr>
                <w:i/>
                <w:lang w:val="en-CA"/>
              </w:rPr>
              <w:t xml:space="preserve">Monitoring of the % of (low, medium, high) positive results in Levey-Jennings plots allows for the evaluation of assay </w:t>
            </w:r>
            <w:r>
              <w:rPr>
                <w:i/>
                <w:lang w:val="en-CA"/>
              </w:rPr>
              <w:t xml:space="preserve">stability </w:t>
            </w:r>
            <w:r w:rsidRPr="00CD4B55">
              <w:rPr>
                <w:i/>
                <w:lang w:val="en-CA"/>
              </w:rPr>
              <w:t>over time (e.g. to document the effect of lot changes)</w:t>
            </w:r>
          </w:p>
          <w:p w:rsidR="003D11BA" w:rsidRPr="00CD4B55" w:rsidRDefault="003D11BA" w:rsidP="00212E31">
            <w:pPr>
              <w:rPr>
                <w:i/>
                <w:lang w:val="en-CA"/>
              </w:rPr>
            </w:pPr>
          </w:p>
          <w:p w:rsidR="003D11BA" w:rsidRPr="00CD4B55" w:rsidRDefault="003D11BA" w:rsidP="00212E31">
            <w:pPr>
              <w:rPr>
                <w:i/>
                <w:lang w:val="en-CA"/>
              </w:rPr>
            </w:pPr>
            <w:r w:rsidRPr="00CD4B55">
              <w:rPr>
                <w:i/>
                <w:lang w:val="en-CA"/>
              </w:rPr>
              <w:t>When an automated system for ANA IFA is used: monitoring of the</w:t>
            </w:r>
            <w:r>
              <w:rPr>
                <w:i/>
                <w:lang w:val="en-CA"/>
              </w:rPr>
              <w:t xml:space="preserve"> IQC sample and</w:t>
            </w:r>
            <w:r w:rsidRPr="00CD4B55">
              <w:rPr>
                <w:i/>
                <w:lang w:val="en-CA"/>
              </w:rPr>
              <w:t xml:space="preserve"> median patient </w:t>
            </w:r>
            <w:r>
              <w:rPr>
                <w:i/>
                <w:lang w:val="en-CA"/>
              </w:rPr>
              <w:t>FI</w:t>
            </w:r>
            <w:r w:rsidRPr="00CD4B55">
              <w:rPr>
                <w:i/>
                <w:lang w:val="en-CA"/>
              </w:rPr>
              <w:t xml:space="preserve"> in Levey-Jennings plots is a very sensitive method to detect assay </w:t>
            </w:r>
            <w:r>
              <w:rPr>
                <w:i/>
                <w:lang w:val="en-CA"/>
              </w:rPr>
              <w:t>stability</w:t>
            </w:r>
            <w:r w:rsidRPr="00CD4B55">
              <w:rPr>
                <w:i/>
                <w:lang w:val="en-CA"/>
              </w:rPr>
              <w:t xml:space="preserve"> over time (e.g. to document the effect of lot changes</w:t>
            </w:r>
            <w:r>
              <w:rPr>
                <w:i/>
                <w:lang w:val="en-CA"/>
              </w:rPr>
              <w:t>)</w:t>
            </w:r>
          </w:p>
          <w:p w:rsidR="003D11BA" w:rsidRPr="00D12CD8" w:rsidRDefault="003D11BA" w:rsidP="00212E31">
            <w:pPr>
              <w:rPr>
                <w:lang w:val="en-CA"/>
              </w:rPr>
            </w:pPr>
          </w:p>
        </w:tc>
      </w:tr>
    </w:tbl>
    <w:p w:rsidR="003D11BA" w:rsidRDefault="003D11BA" w:rsidP="00212E31">
      <w:pPr>
        <w:spacing w:line="240" w:lineRule="auto"/>
        <w:rPr>
          <w:color w:val="FF0000"/>
          <w:lang w:val="en-CA"/>
        </w:rPr>
      </w:pPr>
    </w:p>
    <w:p w:rsidR="003D11BA" w:rsidRPr="00525552" w:rsidRDefault="003D11BA" w:rsidP="00212E31">
      <w:pPr>
        <w:spacing w:line="240" w:lineRule="auto"/>
        <w:rPr>
          <w:color w:val="FF0000"/>
          <w:lang w:val="en-CA"/>
        </w:rPr>
      </w:pPr>
    </w:p>
    <w:p w:rsidR="003D11BA" w:rsidRPr="00525552" w:rsidRDefault="003D11BA" w:rsidP="00212E31">
      <w:pPr>
        <w:spacing w:before="240" w:line="240" w:lineRule="auto"/>
        <w:jc w:val="both"/>
        <w:rPr>
          <w:b/>
          <w:lang w:val="en-CA"/>
        </w:rPr>
      </w:pPr>
      <w:r w:rsidRPr="00525552">
        <w:rPr>
          <w:b/>
          <w:lang w:val="en-CA"/>
        </w:rPr>
        <w:t>Reagent lot acceptance and monitoring of lot-to-lot variability</w:t>
      </w:r>
    </w:p>
    <w:p w:rsidR="003D11BA" w:rsidRPr="006927DA" w:rsidRDefault="003D11BA" w:rsidP="00212E31">
      <w:pPr>
        <w:spacing w:line="240" w:lineRule="auto"/>
        <w:contextualSpacing/>
        <w:jc w:val="both"/>
        <w:rPr>
          <w:lang w:val="en-US"/>
        </w:rPr>
      </w:pPr>
      <w:r w:rsidRPr="006927DA">
        <w:rPr>
          <w:lang w:val="en-US"/>
        </w:rPr>
        <w:t xml:space="preserve">Variations in the manufacturing process of HEp-2/2000 slides can cause differences between substrate lots </w:t>
      </w:r>
      <w:r>
        <w:rPr>
          <w:noProof/>
          <w:lang w:val="en-US"/>
        </w:rPr>
        <w:t>(5, 58, 117)</w:t>
      </w:r>
      <w:r w:rsidRPr="006927DA">
        <w:rPr>
          <w:lang w:val="en-US"/>
        </w:rPr>
        <w:t xml:space="preserve">. In line with (inter)national guidelines and EN/ISO 15189:2012 accreditation requirements, each new reagent lot and shipment should be validated before use </w:t>
      </w:r>
      <w:r>
        <w:rPr>
          <w:noProof/>
          <w:lang w:val="en-US"/>
        </w:rPr>
        <w:t>(115)</w:t>
      </w:r>
      <w:r w:rsidRPr="006927DA">
        <w:rPr>
          <w:lang w:val="en-US"/>
        </w:rPr>
        <w:t>. CLSI recommends to test patient samples with both the current and the candidate new lot</w:t>
      </w:r>
      <w:r>
        <w:rPr>
          <w:lang w:val="en-US"/>
        </w:rPr>
        <w:t xml:space="preserve"> </w:t>
      </w:r>
      <w:r>
        <w:rPr>
          <w:noProof/>
          <w:lang w:val="en-US"/>
        </w:rPr>
        <w:t>(124)</w:t>
      </w:r>
      <w:r w:rsidRPr="006927DA">
        <w:rPr>
          <w:lang w:val="en-US"/>
        </w:rPr>
        <w:t>. QC materials are suboptimal as they may not reflect the performance of patient samples, but they can be used to verify a new shipment of the same reagent lot that had previously been validated</w:t>
      </w:r>
      <w:r>
        <w:rPr>
          <w:lang w:val="en-US"/>
        </w:rPr>
        <w:t xml:space="preserve"> </w:t>
      </w:r>
      <w:r>
        <w:rPr>
          <w:noProof/>
          <w:lang w:val="en-US"/>
        </w:rPr>
        <w:t>(124)</w:t>
      </w:r>
      <w:r w:rsidRPr="004A0AC0">
        <w:rPr>
          <w:i/>
          <w:lang w:val="en-US"/>
        </w:rPr>
        <w:t>.</w:t>
      </w:r>
      <w:r w:rsidRPr="006927DA">
        <w:rPr>
          <w:lang w:val="en-US"/>
        </w:rPr>
        <w:t xml:space="preserve"> </w:t>
      </w:r>
    </w:p>
    <w:p w:rsidR="003D11BA" w:rsidRPr="006927DA" w:rsidRDefault="003D11BA" w:rsidP="00212E31">
      <w:pPr>
        <w:spacing w:line="240" w:lineRule="auto"/>
        <w:contextualSpacing/>
        <w:jc w:val="both"/>
        <w:rPr>
          <w:lang w:val="en-US"/>
        </w:rPr>
      </w:pPr>
      <w:r w:rsidRPr="006927DA">
        <w:rPr>
          <w:lang w:val="en-US"/>
        </w:rPr>
        <w:t xml:space="preserve">For HEp-2 IIF, several recommendations advice on the best approach for reagent lot acceptance. According to CLSI LA02-A2, each lot number of HEp-2 cells should be tested with </w:t>
      </w:r>
      <w:r w:rsidRPr="006927DA">
        <w:rPr>
          <w:i/>
          <w:lang w:val="en-US"/>
        </w:rPr>
        <w:t>a low titer, known positive anti-SSA</w:t>
      </w:r>
      <w:r w:rsidRPr="006927DA">
        <w:rPr>
          <w:lang w:val="en-US"/>
        </w:rPr>
        <w:t xml:space="preserve"> sample and a set of other positive and negative known sera which are collected/preserved for the purpose of lot-to-lot comparisons</w:t>
      </w:r>
      <w:r>
        <w:rPr>
          <w:lang w:val="en-US"/>
        </w:rPr>
        <w:t xml:space="preserve"> (43)</w:t>
      </w:r>
      <w:r w:rsidRPr="006927DA">
        <w:rPr>
          <w:lang w:val="en-US"/>
        </w:rPr>
        <w:t xml:space="preserve">. The Brazilian guideline suggests to test samples with antigens susceptible to damage (Jo1, SSA, PCNA, RNA polymerase) and which are immunologically and morphologically well characterized </w:t>
      </w:r>
      <w:r>
        <w:rPr>
          <w:noProof/>
          <w:lang w:val="en-US"/>
        </w:rPr>
        <w:t>(5, 41, 58, 117)</w:t>
      </w:r>
      <w:r w:rsidRPr="006927DA">
        <w:rPr>
          <w:i/>
          <w:lang w:val="en-US"/>
        </w:rPr>
        <w:t>.</w:t>
      </w:r>
      <w:r w:rsidRPr="006927DA">
        <w:rPr>
          <w:lang w:val="en-US"/>
        </w:rPr>
        <w:t xml:space="preserve"> For conjugate lot changes, the CLSI LA02-A2 as well as the Brazilian guidelines recommend chessboard titration and/or comparison with standard conjugates for determining the optimal conjugate dilution </w:t>
      </w:r>
      <w:r>
        <w:rPr>
          <w:noProof/>
          <w:lang w:val="en-US"/>
        </w:rPr>
        <w:t>(5, 41, 58, 117)</w:t>
      </w:r>
      <w:r w:rsidRPr="006927DA">
        <w:rPr>
          <w:lang w:val="en-US"/>
        </w:rPr>
        <w:t>.</w:t>
      </w:r>
      <w:r w:rsidRPr="006927DA">
        <w:rPr>
          <w:rFonts w:asciiTheme="majorHAnsi" w:hAnsiTheme="majorHAnsi" w:cstheme="majorHAnsi"/>
          <w:color w:val="000000" w:themeColor="text1"/>
          <w:lang w:val="en-CA"/>
        </w:rPr>
        <w:t xml:space="preserve"> </w:t>
      </w:r>
      <w:r w:rsidRPr="006927DA">
        <w:rPr>
          <w:lang w:val="en-US"/>
        </w:rPr>
        <w:t>However, in the context of the current IVDR regulations this may not be recommended anymore.  At present, kits with a validated combination of reagents are extensively being used, and any deviation from the manufacturer’s instructions</w:t>
      </w:r>
      <w:r>
        <w:rPr>
          <w:lang w:val="en-US"/>
        </w:rPr>
        <w:t xml:space="preserve"> requires</w:t>
      </w:r>
      <w:r w:rsidRPr="006927DA">
        <w:rPr>
          <w:lang w:val="en-US"/>
        </w:rPr>
        <w:t xml:space="preserve"> extensive validation (see validation).</w:t>
      </w:r>
    </w:p>
    <w:p w:rsidR="003D11BA" w:rsidRPr="006927DA" w:rsidRDefault="003D11BA" w:rsidP="00212E31">
      <w:pPr>
        <w:spacing w:line="240" w:lineRule="auto"/>
        <w:contextualSpacing/>
        <w:jc w:val="both"/>
        <w:rPr>
          <w:lang w:val="en-US"/>
        </w:rPr>
      </w:pPr>
      <w:r w:rsidRPr="006927DA">
        <w:rPr>
          <w:lang w:val="en-US"/>
        </w:rPr>
        <w:t>When performing lot-to lot comparisons, the estimated difference between two lots should not exceed a critical difference</w:t>
      </w:r>
      <w:r>
        <w:rPr>
          <w:lang w:val="en-US"/>
        </w:rPr>
        <w:t xml:space="preserve"> </w:t>
      </w:r>
      <w:r>
        <w:rPr>
          <w:noProof/>
          <w:lang w:val="en-US"/>
        </w:rPr>
        <w:t>(124)</w:t>
      </w:r>
      <w:r w:rsidRPr="006927DA">
        <w:rPr>
          <w:i/>
          <w:lang w:val="en-US"/>
        </w:rPr>
        <w:t>.</w:t>
      </w:r>
      <w:r w:rsidRPr="006927DA">
        <w:rPr>
          <w:lang w:val="en-US"/>
        </w:rPr>
        <w:t xml:space="preserve"> This critical difference (medically allowable error) should be based on </w:t>
      </w:r>
      <w:r w:rsidRPr="006927DA">
        <w:rPr>
          <w:i/>
          <w:lang w:val="en-US"/>
        </w:rPr>
        <w:t>e.g.</w:t>
      </w:r>
      <w:r w:rsidRPr="006927DA">
        <w:rPr>
          <w:lang w:val="en-US"/>
        </w:rPr>
        <w:t xml:space="preserve"> clinical outcome studies, biological variation, analytical performance, professional practice guidelines and published professional recommendations</w:t>
      </w:r>
      <w:r>
        <w:rPr>
          <w:noProof/>
          <w:lang w:val="en-US"/>
        </w:rPr>
        <w:t>(124)</w:t>
      </w:r>
      <w:r w:rsidRPr="006927DA">
        <w:rPr>
          <w:i/>
          <w:lang w:val="en-US"/>
        </w:rPr>
        <w:t>.</w:t>
      </w:r>
      <w:r w:rsidRPr="006927DA">
        <w:rPr>
          <w:lang w:val="en-US"/>
        </w:rPr>
        <w:t xml:space="preserve"> For HEp-2 IIF, it is very challenging to define this medical allowable error. In case HEp-2 IIF is considered qualitative/semi-quantitative, the ANA IIF CLSI guideline suggests that in lot-to-lot comparability studies, at least 85% of the samples should give equivalent results</w:t>
      </w:r>
      <w:r>
        <w:rPr>
          <w:lang w:val="en-US"/>
        </w:rPr>
        <w:t xml:space="preserve"> </w:t>
      </w:r>
      <w:r>
        <w:rPr>
          <w:noProof/>
          <w:lang w:val="en-US"/>
        </w:rPr>
        <w:t>(41)</w:t>
      </w:r>
      <w:r w:rsidRPr="006927DA">
        <w:rPr>
          <w:i/>
          <w:lang w:val="en-US"/>
        </w:rPr>
        <w:t>.</w:t>
      </w:r>
      <w:r w:rsidRPr="006927DA">
        <w:rPr>
          <w:lang w:val="en-US"/>
        </w:rPr>
        <w:t xml:space="preserve">  Conventionally, the accepted maximum clinical variability is no deviation from the initial pattern and a 1 titer step difference </w:t>
      </w:r>
      <w:r>
        <w:rPr>
          <w:noProof/>
          <w:lang w:val="en-US"/>
        </w:rPr>
        <w:t>(41, 114, 116, 125)</w:t>
      </w:r>
      <w:r w:rsidRPr="006927DA">
        <w:rPr>
          <w:i/>
          <w:lang w:val="en-US"/>
        </w:rPr>
        <w:t>.</w:t>
      </w:r>
      <w:r w:rsidRPr="006927DA">
        <w:rPr>
          <w:lang w:val="en-US"/>
        </w:rPr>
        <w:t xml:space="preserve"> It may be disputed whether this generally accepted variability really mirrors the total allowable error that can be tolerated without invalidating the medical usefulness of the analytical result in terms of the % of ANA positives and the % anti-ENA positives detected after HEp-2 IIF screening </w:t>
      </w:r>
      <w:r>
        <w:rPr>
          <w:noProof/>
          <w:lang w:val="en-US"/>
        </w:rPr>
        <w:t>(114)</w:t>
      </w:r>
      <w:r w:rsidRPr="006927DA">
        <w:rPr>
          <w:lang w:val="en-US"/>
        </w:rPr>
        <w:t xml:space="preserve">. It should be noted that this criterion can also be translated in CAD system-specific criteria that can be applied by using the FI measures of the </w:t>
      </w:r>
      <w:r w:rsidRPr="006927DA">
        <w:rPr>
          <w:lang w:val="en-US"/>
        </w:rPr>
        <w:lastRenderedPageBreak/>
        <w:t xml:space="preserve">HEp-2 IIF results in lot-to-lot comparisons </w:t>
      </w:r>
      <w:r>
        <w:rPr>
          <w:noProof/>
          <w:lang w:val="en-US"/>
        </w:rPr>
        <w:t>(125)</w:t>
      </w:r>
      <w:r w:rsidRPr="006927DA">
        <w:rPr>
          <w:lang w:val="en-US"/>
        </w:rPr>
        <w:t>. Using Levey-Jennings charts (and Westgard rules) may help to evaluate/monitor the impact of lot changes (see above)</w:t>
      </w:r>
      <w:r>
        <w:rPr>
          <w:noProof/>
          <w:lang w:val="en-US"/>
        </w:rPr>
        <w:t>(112, 114, 119)</w:t>
      </w:r>
      <w:r>
        <w:rPr>
          <w:lang w:val="en-US"/>
        </w:rPr>
        <w:t>.</w:t>
      </w:r>
    </w:p>
    <w:p w:rsidR="003D11BA" w:rsidRPr="008F3D22" w:rsidRDefault="003D11BA" w:rsidP="00212E31">
      <w:pPr>
        <w:spacing w:line="240" w:lineRule="auto"/>
        <w:jc w:val="both"/>
        <w:rPr>
          <w:sz w:val="24"/>
          <w:szCs w:val="24"/>
          <w:lang w:val="en-US"/>
        </w:rPr>
      </w:pPr>
    </w:p>
    <w:tbl>
      <w:tblPr>
        <w:tblStyle w:val="TableGrid"/>
        <w:tblW w:w="0" w:type="auto"/>
        <w:shd w:val="clear" w:color="auto" w:fill="E7E6E6" w:themeFill="background2"/>
        <w:tblLook w:val="04A0" w:firstRow="1" w:lastRow="0" w:firstColumn="1" w:lastColumn="0" w:noHBand="0" w:noVBand="1"/>
      </w:tblPr>
      <w:tblGrid>
        <w:gridCol w:w="9062"/>
      </w:tblGrid>
      <w:tr w:rsidR="003D11BA" w:rsidRPr="00CA415F" w:rsidTr="00212E31">
        <w:tc>
          <w:tcPr>
            <w:tcW w:w="9062" w:type="dxa"/>
            <w:shd w:val="clear" w:color="auto" w:fill="F2F2F2" w:themeFill="background1" w:themeFillShade="F2"/>
          </w:tcPr>
          <w:p w:rsidR="003D11BA" w:rsidRPr="00CE5B70" w:rsidRDefault="003D11BA" w:rsidP="00212E31">
            <w:pPr>
              <w:rPr>
                <w:i/>
                <w:lang w:val="en-CA"/>
              </w:rPr>
            </w:pPr>
            <w:r w:rsidRPr="00F03F2F">
              <w:rPr>
                <w:i/>
                <w:lang w:val="en-CA"/>
              </w:rPr>
              <w:t>Lot-to-lot variability of different conjugate/substrate combinations should be evaluated before implementing</w:t>
            </w:r>
            <w:r>
              <w:rPr>
                <w:i/>
                <w:lang w:val="en-CA"/>
              </w:rPr>
              <w:t xml:space="preserve"> a new lot. This can be done by using samples </w:t>
            </w:r>
            <w:r w:rsidRPr="00F03F2F">
              <w:rPr>
                <w:i/>
                <w:lang w:val="en-CA"/>
              </w:rPr>
              <w:t>selected for this purpose</w:t>
            </w:r>
            <w:r>
              <w:rPr>
                <w:i/>
                <w:lang w:val="en-CA"/>
              </w:rPr>
              <w:t xml:space="preserve"> minimally covering different cell compartments (nucleus and cytoplasm) and different titer levels. </w:t>
            </w:r>
          </w:p>
        </w:tc>
      </w:tr>
    </w:tbl>
    <w:p w:rsidR="003D11BA" w:rsidRDefault="003D11BA" w:rsidP="00212E31">
      <w:pPr>
        <w:rPr>
          <w:b/>
          <w:smallCaps/>
          <w:lang w:val="en-US"/>
        </w:rPr>
      </w:pPr>
    </w:p>
    <w:p w:rsidR="003D11BA" w:rsidRPr="00636C1B" w:rsidRDefault="003D11BA" w:rsidP="00212E31">
      <w:pPr>
        <w:rPr>
          <w:b/>
          <w:lang w:val="en-US"/>
        </w:rPr>
      </w:pPr>
      <w:r w:rsidRPr="00671A79">
        <w:rPr>
          <w:b/>
          <w:smallCaps/>
          <w:lang w:val="en-US"/>
        </w:rPr>
        <w:t>Validation / Verification</w:t>
      </w:r>
      <w:r w:rsidRPr="00636C1B">
        <w:rPr>
          <w:b/>
          <w:lang w:val="en-US"/>
        </w:rPr>
        <w:t xml:space="preserve"> </w:t>
      </w:r>
    </w:p>
    <w:p w:rsidR="003D11BA" w:rsidRPr="0069447B" w:rsidRDefault="003D11BA" w:rsidP="00212E31">
      <w:pPr>
        <w:jc w:val="both"/>
        <w:rPr>
          <w:color w:val="FF0000"/>
          <w:sz w:val="16"/>
          <w:szCs w:val="16"/>
          <w:lang w:val="en-CA"/>
        </w:rPr>
      </w:pPr>
      <w:r w:rsidRPr="00E1489C">
        <w:rPr>
          <w:lang w:val="en-CA"/>
        </w:rPr>
        <w:t>Validation is defined by the WHO (World Health Organization) as ‘</w:t>
      </w:r>
      <w:r w:rsidRPr="00D7574A">
        <w:rPr>
          <w:i/>
          <w:lang w:val="en-CA"/>
        </w:rPr>
        <w:t>the action or process of proving that a procedure, process, system, equipment or method works as expected and achieves the intended result</w:t>
      </w:r>
      <w:r w:rsidRPr="00E1489C">
        <w:rPr>
          <w:lang w:val="en-CA"/>
        </w:rPr>
        <w:t>’</w:t>
      </w:r>
      <w:r>
        <w:rPr>
          <w:lang w:val="en-CA"/>
        </w:rPr>
        <w:t xml:space="preserve"> </w:t>
      </w:r>
      <w:r>
        <w:rPr>
          <w:noProof/>
          <w:lang w:val="en-CA"/>
        </w:rPr>
        <w:t>(126)</w:t>
      </w:r>
      <w:r w:rsidRPr="00E1489C">
        <w:rPr>
          <w:lang w:val="en-CA"/>
        </w:rPr>
        <w:t xml:space="preserve">.  Method validation </w:t>
      </w:r>
      <w:r w:rsidRPr="00E1489C">
        <w:rPr>
          <w:color w:val="000000" w:themeColor="text1"/>
          <w:lang w:val="en-CA"/>
        </w:rPr>
        <w:t>establishes objective evidence (by documenting performance characteristics)</w:t>
      </w:r>
      <w:r w:rsidRPr="00D7574A">
        <w:rPr>
          <w:color w:val="000000" w:themeColor="text1"/>
          <w:lang w:val="en-CA"/>
        </w:rPr>
        <w:t xml:space="preserve"> </w:t>
      </w:r>
      <w:r w:rsidRPr="00E1489C">
        <w:rPr>
          <w:color w:val="000000" w:themeColor="text1"/>
          <w:lang w:val="en-CA"/>
        </w:rPr>
        <w:t>that a method/application</w:t>
      </w:r>
      <w:r w:rsidRPr="00E1489C">
        <w:rPr>
          <w:color w:val="FF0000"/>
          <w:lang w:val="en-CA"/>
        </w:rPr>
        <w:t xml:space="preserve"> </w:t>
      </w:r>
      <w:r w:rsidRPr="00E1489C">
        <w:rPr>
          <w:lang w:val="en-CA"/>
        </w:rPr>
        <w:t xml:space="preserve">is adequate for the intended use </w:t>
      </w:r>
      <w:r>
        <w:rPr>
          <w:noProof/>
          <w:lang w:val="en-CA"/>
        </w:rPr>
        <w:t>(115)</w:t>
      </w:r>
      <w:r w:rsidRPr="007415EE">
        <w:rPr>
          <w:i/>
          <w:sz w:val="16"/>
          <w:szCs w:val="16"/>
          <w:lang w:val="en-CA"/>
        </w:rPr>
        <w:t>.</w:t>
      </w:r>
      <w:r w:rsidRPr="00E1489C">
        <w:rPr>
          <w:lang w:val="en-CA"/>
        </w:rPr>
        <w:t xml:space="preserve"> </w:t>
      </w:r>
      <w:r w:rsidRPr="00D7574A">
        <w:rPr>
          <w:lang w:val="en-CA"/>
        </w:rPr>
        <w:t>CE-IVD</w:t>
      </w:r>
      <w:r>
        <w:rPr>
          <w:lang w:val="en-CA"/>
        </w:rPr>
        <w:t>-</w:t>
      </w:r>
      <w:r w:rsidRPr="00D7574A">
        <w:rPr>
          <w:lang w:val="en-CA"/>
        </w:rPr>
        <w:t xml:space="preserve"> (Conformité Européenne In vitro diagnostics)/US FDA</w:t>
      </w:r>
      <w:r>
        <w:rPr>
          <w:lang w:val="en-CA"/>
        </w:rPr>
        <w:t>-</w:t>
      </w:r>
      <w:r w:rsidRPr="00D7574A">
        <w:rPr>
          <w:lang w:val="en-CA"/>
        </w:rPr>
        <w:t>approved tests</w:t>
      </w:r>
      <w:r w:rsidRPr="00E1489C">
        <w:rPr>
          <w:lang w:val="en-CA"/>
        </w:rPr>
        <w:t xml:space="preserve"> are validated by the manufacturer</w:t>
      </w:r>
      <w:r>
        <w:rPr>
          <w:lang w:val="en-CA"/>
        </w:rPr>
        <w:t xml:space="preserve"> </w:t>
      </w:r>
      <w:r>
        <w:rPr>
          <w:noProof/>
          <w:lang w:val="en-CA"/>
        </w:rPr>
        <w:t>(127, 128)</w:t>
      </w:r>
      <w:r w:rsidRPr="0069447B">
        <w:rPr>
          <w:lang w:val="en-CA"/>
        </w:rPr>
        <w:t>.</w:t>
      </w:r>
      <w:r w:rsidRPr="00E1489C">
        <w:rPr>
          <w:lang w:val="en-CA"/>
        </w:rPr>
        <w:t xml:space="preserve"> Further approaches for validation include referral to </w:t>
      </w:r>
      <w:r w:rsidRPr="00D7574A">
        <w:rPr>
          <w:lang w:val="en-CA"/>
        </w:rPr>
        <w:t xml:space="preserve">relevant scientific </w:t>
      </w:r>
      <w:r w:rsidRPr="00E1489C">
        <w:rPr>
          <w:lang w:val="en-CA"/>
        </w:rPr>
        <w:t xml:space="preserve">publications, </w:t>
      </w:r>
      <w:r w:rsidRPr="00D7574A">
        <w:rPr>
          <w:lang w:val="en-CA"/>
        </w:rPr>
        <w:t>(inter)national</w:t>
      </w:r>
      <w:r w:rsidRPr="00E1489C">
        <w:rPr>
          <w:lang w:val="en-CA"/>
        </w:rPr>
        <w:t xml:space="preserve"> or </w:t>
      </w:r>
      <w:r w:rsidRPr="00D509FA">
        <w:rPr>
          <w:lang w:val="en-CA"/>
        </w:rPr>
        <w:t>regional standards,</w:t>
      </w:r>
      <w:r w:rsidRPr="00D7574A">
        <w:rPr>
          <w:lang w:val="en-CA"/>
        </w:rPr>
        <w:t xml:space="preserve"> </w:t>
      </w:r>
      <w:r w:rsidRPr="00E1489C">
        <w:rPr>
          <w:lang w:val="en-CA"/>
        </w:rPr>
        <w:t xml:space="preserve">or </w:t>
      </w:r>
      <w:r w:rsidRPr="00D7574A">
        <w:rPr>
          <w:lang w:val="en-CA"/>
        </w:rPr>
        <w:t xml:space="preserve">reputable technical organizations </w:t>
      </w:r>
      <w:r>
        <w:rPr>
          <w:noProof/>
          <w:lang w:val="en-CA"/>
        </w:rPr>
        <w:t>(129)</w:t>
      </w:r>
      <w:r w:rsidRPr="00D058C0">
        <w:rPr>
          <w:color w:val="000000" w:themeColor="text1"/>
          <w:lang w:val="en-CA"/>
        </w:rPr>
        <w:t xml:space="preserve">. </w:t>
      </w:r>
      <w:r w:rsidRPr="00E1489C">
        <w:rPr>
          <w:lang w:val="en-CA"/>
        </w:rPr>
        <w:t xml:space="preserve">According the 2017 </w:t>
      </w:r>
      <w:r>
        <w:rPr>
          <w:lang w:val="en-CA"/>
        </w:rPr>
        <w:t xml:space="preserve">EU </w:t>
      </w:r>
      <w:r w:rsidRPr="00E1489C">
        <w:rPr>
          <w:lang w:val="en-CA"/>
        </w:rPr>
        <w:t>IVD R</w:t>
      </w:r>
      <w:r>
        <w:rPr>
          <w:lang w:val="en-CA"/>
        </w:rPr>
        <w:t>egulation</w:t>
      </w:r>
      <w:r w:rsidRPr="00E1489C">
        <w:rPr>
          <w:lang w:val="en-CA"/>
        </w:rPr>
        <w:t>, validation is the responsibility of the manufacturer or of the laboratory in case no commercial assay is available</w:t>
      </w:r>
      <w:r>
        <w:rPr>
          <w:lang w:val="en-CA"/>
        </w:rPr>
        <w:t xml:space="preserve"> </w:t>
      </w:r>
      <w:r>
        <w:rPr>
          <w:noProof/>
          <w:lang w:val="en-CA"/>
        </w:rPr>
        <w:t>(130)</w:t>
      </w:r>
      <w:r>
        <w:rPr>
          <w:lang w:val="en-CA"/>
        </w:rPr>
        <w:t>.</w:t>
      </w:r>
    </w:p>
    <w:p w:rsidR="003D11BA" w:rsidRPr="00A1084B" w:rsidRDefault="003D11BA" w:rsidP="00212E31">
      <w:pPr>
        <w:spacing w:line="240" w:lineRule="auto"/>
        <w:jc w:val="both"/>
        <w:rPr>
          <w:lang w:val="en-US"/>
        </w:rPr>
      </w:pPr>
      <w:r w:rsidRPr="00E1489C">
        <w:rPr>
          <w:lang w:val="en-CA"/>
        </w:rPr>
        <w:t xml:space="preserve">Medical laboratories often use </w:t>
      </w:r>
      <w:r>
        <w:rPr>
          <w:lang w:val="en-CA"/>
        </w:rPr>
        <w:t xml:space="preserve">CE IVD/FDA-labelled </w:t>
      </w:r>
      <w:r w:rsidRPr="00E1489C">
        <w:rPr>
          <w:lang w:val="en-CA"/>
        </w:rPr>
        <w:t>tests (manufacturer/developer-validated methods) in an unmodified way</w:t>
      </w:r>
      <w:r>
        <w:rPr>
          <w:lang w:val="en-CA"/>
        </w:rPr>
        <w:t xml:space="preserve"> (according to manufacturers’ instructions)</w:t>
      </w:r>
      <w:r w:rsidRPr="00E1489C">
        <w:rPr>
          <w:lang w:val="en-CA"/>
        </w:rPr>
        <w:t xml:space="preserve">. In this case, method verification applies. </w:t>
      </w:r>
      <w:r w:rsidRPr="00E1489C">
        <w:rPr>
          <w:lang w:val="en-US"/>
        </w:rPr>
        <w:t xml:space="preserve">Verification is an abbreviated process that confirms via objective evidence that an already validated examination procedure is appropriate for a specific intended use in </w:t>
      </w:r>
      <w:r w:rsidRPr="00D509FA">
        <w:rPr>
          <w:color w:val="000000" w:themeColor="text1"/>
          <w:lang w:val="en-US"/>
        </w:rPr>
        <w:t xml:space="preserve">one’s own laboratory </w:t>
      </w:r>
      <w:r>
        <w:rPr>
          <w:noProof/>
          <w:color w:val="000000" w:themeColor="text1"/>
          <w:lang w:val="en-US"/>
        </w:rPr>
        <w:t>(128, 131-134)</w:t>
      </w:r>
      <w:r w:rsidRPr="007415EE">
        <w:rPr>
          <w:i/>
          <w:sz w:val="16"/>
          <w:szCs w:val="16"/>
          <w:lang w:val="en-US"/>
        </w:rPr>
        <w:t xml:space="preserve">. </w:t>
      </w:r>
      <w:r w:rsidRPr="0095096A">
        <w:rPr>
          <w:lang w:val="en-CA"/>
        </w:rPr>
        <w:t>Prerequisite</w:t>
      </w:r>
      <w:r w:rsidRPr="00E1489C">
        <w:rPr>
          <w:lang w:val="en-CA"/>
        </w:rPr>
        <w:t xml:space="preserve"> for verification is the availability of information provided by the manufacturer/developer </w:t>
      </w:r>
      <w:r>
        <w:rPr>
          <w:noProof/>
          <w:lang w:val="en-CA"/>
        </w:rPr>
        <w:t>(115)</w:t>
      </w:r>
      <w:r w:rsidRPr="00E1489C">
        <w:rPr>
          <w:lang w:val="en-CA"/>
        </w:rPr>
        <w:t xml:space="preserve">. Guidance on how to verify/validate in a state-of-the-art way can be found in general guidelines issued by professional organizations such as the Clinical Laboratory Standards </w:t>
      </w:r>
      <w:r w:rsidRPr="000C6434">
        <w:rPr>
          <w:lang w:val="en-CA"/>
        </w:rPr>
        <w:t xml:space="preserve">Institute </w:t>
      </w:r>
      <w:r>
        <w:rPr>
          <w:noProof/>
          <w:lang w:val="en-CA"/>
        </w:rPr>
        <w:t>(135, 136)</w:t>
      </w:r>
      <w:r w:rsidRPr="000C6434">
        <w:rPr>
          <w:lang w:val="en-CA"/>
        </w:rPr>
        <w:t xml:space="preserve">, books or publications </w:t>
      </w:r>
      <w:r>
        <w:rPr>
          <w:noProof/>
          <w:lang w:val="en-CA"/>
        </w:rPr>
        <w:t>(137, 138)</w:t>
      </w:r>
      <w:r w:rsidRPr="000C6434">
        <w:rPr>
          <w:i/>
          <w:sz w:val="16"/>
          <w:szCs w:val="16"/>
          <w:lang w:val="en-US"/>
        </w:rPr>
        <w:t>.</w:t>
      </w:r>
    </w:p>
    <w:p w:rsidR="003D11BA" w:rsidRPr="00290EF9" w:rsidRDefault="003D11BA" w:rsidP="00212E31">
      <w:pPr>
        <w:spacing w:after="0" w:line="240" w:lineRule="auto"/>
        <w:ind w:left="284"/>
        <w:rPr>
          <w:color w:val="FF0000"/>
          <w:sz w:val="16"/>
          <w:szCs w:val="16"/>
          <w:lang w:val="en-CA"/>
        </w:rPr>
      </w:pPr>
    </w:p>
    <w:p w:rsidR="003D11BA" w:rsidRPr="00671A79" w:rsidRDefault="003D11BA" w:rsidP="00212E31">
      <w:pPr>
        <w:spacing w:line="240" w:lineRule="auto"/>
        <w:jc w:val="both"/>
        <w:rPr>
          <w:b/>
          <w:lang w:val="en-CA"/>
        </w:rPr>
      </w:pPr>
      <w:r w:rsidRPr="00671A79">
        <w:rPr>
          <w:b/>
          <w:lang w:val="en-US"/>
        </w:rPr>
        <w:t>Analytical v</w:t>
      </w:r>
      <w:r>
        <w:rPr>
          <w:b/>
          <w:lang w:val="en-US"/>
        </w:rPr>
        <w:t>alidation</w:t>
      </w:r>
      <w:r w:rsidRPr="00671A79">
        <w:rPr>
          <w:b/>
          <w:lang w:val="en-US"/>
        </w:rPr>
        <w:t xml:space="preserve"> and v</w:t>
      </w:r>
      <w:r>
        <w:rPr>
          <w:b/>
          <w:lang w:val="en-US"/>
        </w:rPr>
        <w:t>erification</w:t>
      </w:r>
      <w:r w:rsidRPr="00671A79">
        <w:rPr>
          <w:b/>
          <w:lang w:val="en-US"/>
        </w:rPr>
        <w:t xml:space="preserve"> </w:t>
      </w:r>
    </w:p>
    <w:p w:rsidR="003D11BA" w:rsidRDefault="003D11BA" w:rsidP="00212E31">
      <w:pPr>
        <w:spacing w:line="240" w:lineRule="auto"/>
        <w:jc w:val="both"/>
        <w:rPr>
          <w:color w:val="000000" w:themeColor="text1"/>
          <w:lang w:val="en-CA"/>
        </w:rPr>
      </w:pPr>
      <w:r w:rsidRPr="00A1084B">
        <w:rPr>
          <w:color w:val="000000" w:themeColor="text1"/>
          <w:lang w:val="en-CA"/>
        </w:rPr>
        <w:t>ISO standards have been translated and interpreted by national authorities, some of them specifying how to meet the ISO requirements, possibly resulting in small differences between countries both in the definition of validation</w:t>
      </w:r>
      <w:r>
        <w:rPr>
          <w:color w:val="000000" w:themeColor="text1"/>
          <w:lang w:val="en-CA"/>
        </w:rPr>
        <w:t>/verification</w:t>
      </w:r>
      <w:r w:rsidRPr="00A1084B">
        <w:rPr>
          <w:color w:val="000000" w:themeColor="text1"/>
          <w:lang w:val="en-CA"/>
        </w:rPr>
        <w:t xml:space="preserve"> as well as in the minimal requirements.</w:t>
      </w:r>
      <w:r>
        <w:rPr>
          <w:color w:val="000000" w:themeColor="text1"/>
          <w:lang w:val="en-CA"/>
        </w:rPr>
        <w:t xml:space="preserve"> </w:t>
      </w:r>
    </w:p>
    <w:p w:rsidR="003D11BA" w:rsidRPr="009F7D6C" w:rsidRDefault="003D11BA" w:rsidP="00212E31">
      <w:pPr>
        <w:spacing w:line="240" w:lineRule="auto"/>
        <w:jc w:val="both"/>
        <w:rPr>
          <w:lang w:val="en-CA"/>
        </w:rPr>
      </w:pPr>
      <w:r w:rsidRPr="009F7D6C">
        <w:rPr>
          <w:lang w:val="en-CA"/>
        </w:rPr>
        <w:t>An overview of the definitions of validation</w:t>
      </w:r>
      <w:r>
        <w:rPr>
          <w:lang w:val="en-CA"/>
        </w:rPr>
        <w:t>/verification</w:t>
      </w:r>
      <w:r w:rsidRPr="009F7D6C">
        <w:rPr>
          <w:lang w:val="en-CA"/>
        </w:rPr>
        <w:t xml:space="preserve"> according to CAP, ISO15189 and national guidelines is given in </w:t>
      </w:r>
      <w:r w:rsidRPr="009F7D6C">
        <w:rPr>
          <w:u w:val="single"/>
          <w:lang w:val="en-CA"/>
        </w:rPr>
        <w:t>Table 1</w:t>
      </w:r>
      <w:r w:rsidRPr="009F7D6C">
        <w:rPr>
          <w:lang w:val="en-CA"/>
        </w:rPr>
        <w:t>. In general, verification is applicable for CE/FDA labelled tests or published methods. Unique for the Dutch NVKC is that verification can rely on a combination of locally produced data (for performance characteristics that can be influenced by the local environment) and referral to documentation (for performance characteristics that have been objectively validated with available documentation elsewhere, e.g. another accredited lab) (</w:t>
      </w:r>
      <w:r w:rsidRPr="009F7D6C">
        <w:rPr>
          <w:u w:val="single"/>
          <w:lang w:val="en-CA"/>
        </w:rPr>
        <w:t>summarized in Table 1</w:t>
      </w:r>
      <w:r w:rsidRPr="009F7D6C">
        <w:rPr>
          <w:lang w:val="en-CA"/>
        </w:rPr>
        <w:t>)</w:t>
      </w:r>
      <w:r>
        <w:rPr>
          <w:noProof/>
          <w:lang w:val="en-CA"/>
        </w:rPr>
        <w:t>(134)</w:t>
      </w:r>
      <w:r w:rsidRPr="009F7D6C">
        <w:rPr>
          <w:lang w:val="en-CA"/>
        </w:rPr>
        <w:t xml:space="preserve">. The NVKC admits that some characteristics can be considered irrelevant or impossible to evaluate (e.g. due to low disease prevalence, unavailability of a reference method). In this case, documentation/argumentation is required. The verification report has to mention for every performance characteristic  whether or not experimental data were produced to meet local acceptance </w:t>
      </w:r>
      <w:r w:rsidRPr="00003AD5">
        <w:rPr>
          <w:lang w:val="en-CA"/>
        </w:rPr>
        <w:t xml:space="preserve">criteria </w:t>
      </w:r>
      <w:r w:rsidRPr="00003AD5">
        <w:rPr>
          <w:noProof/>
          <w:lang w:val="en-CA"/>
        </w:rPr>
        <w:t>(134)</w:t>
      </w:r>
      <w:r w:rsidRPr="00003AD5">
        <w:rPr>
          <w:lang w:val="en-CA"/>
        </w:rPr>
        <w:t>.</w:t>
      </w:r>
      <w:r w:rsidRPr="009F7D6C">
        <w:rPr>
          <w:lang w:val="en-CA"/>
        </w:rPr>
        <w:t xml:space="preserve"> </w:t>
      </w:r>
    </w:p>
    <w:p w:rsidR="003D11BA" w:rsidRPr="00E1489C" w:rsidRDefault="003D11BA" w:rsidP="00212E31">
      <w:pPr>
        <w:spacing w:line="240" w:lineRule="auto"/>
        <w:jc w:val="both"/>
        <w:rPr>
          <w:lang w:val="en-CA"/>
        </w:rPr>
      </w:pPr>
      <w:r w:rsidRPr="00A1084B">
        <w:rPr>
          <w:color w:val="000000" w:themeColor="text1"/>
          <w:lang w:val="en-CA"/>
        </w:rPr>
        <w:t>EN-ISO 15189 does not specify which analytical performance characteristics have to be verified</w:t>
      </w:r>
      <w:r>
        <w:rPr>
          <w:color w:val="000000" w:themeColor="text1"/>
          <w:lang w:val="en-CA"/>
        </w:rPr>
        <w:t xml:space="preserve"> </w:t>
      </w:r>
      <w:r>
        <w:rPr>
          <w:noProof/>
          <w:color w:val="000000" w:themeColor="text1"/>
          <w:lang w:val="en-CA"/>
        </w:rPr>
        <w:t>(115)</w:t>
      </w:r>
      <w:r w:rsidRPr="00A1084B">
        <w:rPr>
          <w:color w:val="000000" w:themeColor="text1"/>
          <w:lang w:val="en-CA"/>
        </w:rPr>
        <w:t xml:space="preserve">. </w:t>
      </w:r>
      <w:r w:rsidRPr="00A1084B">
        <w:rPr>
          <w:color w:val="000000" w:themeColor="text1"/>
          <w:u w:val="single"/>
          <w:lang w:val="en-CA"/>
        </w:rPr>
        <w:t>Table 2A</w:t>
      </w:r>
      <w:r w:rsidRPr="00A1084B">
        <w:rPr>
          <w:color w:val="000000" w:themeColor="text1"/>
          <w:lang w:val="en-CA"/>
        </w:rPr>
        <w:t xml:space="preserve"> lists the minimal requirements for validation/verification as included in the different international guidelines. validation</w:t>
      </w:r>
      <w:r>
        <w:rPr>
          <w:color w:val="000000" w:themeColor="text1"/>
          <w:lang w:val="en-CA"/>
        </w:rPr>
        <w:t>/verification</w:t>
      </w:r>
      <w:r w:rsidRPr="00A1084B">
        <w:rPr>
          <w:color w:val="000000" w:themeColor="text1"/>
          <w:lang w:val="en-CA"/>
        </w:rPr>
        <w:t xml:space="preserve"> of precision (repeatability/intermediate precision), accuracy</w:t>
      </w:r>
      <w:r w:rsidRPr="00D509FA">
        <w:rPr>
          <w:color w:val="000000" w:themeColor="text1"/>
          <w:lang w:val="en-CA"/>
        </w:rPr>
        <w:t>/trueness, measurement interval, interferences,</w:t>
      </w:r>
      <w:r>
        <w:rPr>
          <w:color w:val="000000" w:themeColor="text1"/>
          <w:lang w:val="en-CA"/>
        </w:rPr>
        <w:t xml:space="preserve"> </w:t>
      </w:r>
      <w:r w:rsidRPr="00D509FA">
        <w:rPr>
          <w:color w:val="000000" w:themeColor="text1"/>
          <w:lang w:val="en-CA"/>
        </w:rPr>
        <w:t xml:space="preserve">stability, reference interval and medical decision limits are commonly encountered requirements. </w:t>
      </w:r>
      <w:r>
        <w:rPr>
          <w:color w:val="000000" w:themeColor="text1"/>
          <w:lang w:val="en-CA"/>
        </w:rPr>
        <w:t xml:space="preserve">Unique for the </w:t>
      </w:r>
      <w:r w:rsidRPr="00A320C6">
        <w:rPr>
          <w:color w:val="000000" w:themeColor="text1"/>
          <w:lang w:val="en-CA"/>
        </w:rPr>
        <w:t xml:space="preserve">French COFRAC </w:t>
      </w:r>
      <w:r>
        <w:rPr>
          <w:color w:val="000000" w:themeColor="text1"/>
          <w:lang w:val="en-CA"/>
        </w:rPr>
        <w:t xml:space="preserve">is the </w:t>
      </w:r>
      <w:r>
        <w:rPr>
          <w:color w:val="000000" w:themeColor="text1"/>
          <w:lang w:val="en-CA"/>
        </w:rPr>
        <w:lastRenderedPageBreak/>
        <w:t xml:space="preserve">verification requirement of </w:t>
      </w:r>
      <w:r w:rsidRPr="00E1489C">
        <w:rPr>
          <w:lang w:val="en-CA"/>
        </w:rPr>
        <w:t xml:space="preserve">method comparison </w:t>
      </w:r>
      <w:r>
        <w:rPr>
          <w:lang w:val="en-CA"/>
        </w:rPr>
        <w:t xml:space="preserve">with the method already in use  </w:t>
      </w:r>
      <w:r>
        <w:rPr>
          <w:noProof/>
          <w:lang w:val="en-CA"/>
        </w:rPr>
        <w:t>(120)</w:t>
      </w:r>
      <w:r w:rsidRPr="005D30AC">
        <w:rPr>
          <w:lang w:val="en-CA"/>
        </w:rPr>
        <w:t xml:space="preserve">, while </w:t>
      </w:r>
      <w:r>
        <w:rPr>
          <w:lang w:val="en-CA"/>
        </w:rPr>
        <w:t xml:space="preserve">in other guidelines </w:t>
      </w:r>
      <w:r w:rsidRPr="00E1489C">
        <w:rPr>
          <w:lang w:val="en-CA"/>
        </w:rPr>
        <w:t xml:space="preserve">method comparison is not obligatory for validation/verification purposes but it is demanded to assure comparability of results when using different methods, apparatus or procedures. </w:t>
      </w:r>
      <w:r>
        <w:rPr>
          <w:lang w:val="en-CA"/>
        </w:rPr>
        <w:t xml:space="preserve">Nevertheless, in some guidelines method </w:t>
      </w:r>
      <w:r w:rsidRPr="00A320C6">
        <w:rPr>
          <w:lang w:val="en-CA"/>
        </w:rPr>
        <w:t xml:space="preserve">comparison </w:t>
      </w:r>
      <w:r>
        <w:rPr>
          <w:lang w:val="en-CA"/>
        </w:rPr>
        <w:t xml:space="preserve">is </w:t>
      </w:r>
      <w:r w:rsidRPr="00A320C6">
        <w:rPr>
          <w:lang w:val="en-CA"/>
        </w:rPr>
        <w:t>suggested to verify trueness/accuracy</w:t>
      </w:r>
      <w:r>
        <w:rPr>
          <w:lang w:val="en-CA"/>
        </w:rPr>
        <w:t xml:space="preserve"> </w:t>
      </w:r>
      <w:r>
        <w:rPr>
          <w:noProof/>
          <w:lang w:val="en-CA"/>
        </w:rPr>
        <w:t>(134)</w:t>
      </w:r>
      <w:r>
        <w:rPr>
          <w:lang w:val="en-CA"/>
        </w:rPr>
        <w:t xml:space="preserve"> </w:t>
      </w:r>
      <w:r w:rsidRPr="00DE1A87">
        <w:rPr>
          <w:lang w:val="en-CA"/>
        </w:rPr>
        <w:t>or to</w:t>
      </w:r>
      <w:r>
        <w:rPr>
          <w:lang w:val="en-CA"/>
        </w:rPr>
        <w:t xml:space="preserve"> establish reference values </w:t>
      </w:r>
      <w:r>
        <w:rPr>
          <w:noProof/>
          <w:lang w:val="en-CA"/>
        </w:rPr>
        <w:t>(128)</w:t>
      </w:r>
      <w:r>
        <w:rPr>
          <w:lang w:val="en-CA"/>
        </w:rPr>
        <w:t xml:space="preserve">. </w:t>
      </w:r>
      <w:r w:rsidRPr="00E1489C">
        <w:rPr>
          <w:lang w:val="en-CA"/>
        </w:rPr>
        <w:t xml:space="preserve">The ISO-independent CAP (College of American </w:t>
      </w:r>
      <w:r>
        <w:rPr>
          <w:lang w:val="en-CA"/>
        </w:rPr>
        <w:t>P</w:t>
      </w:r>
      <w:r w:rsidRPr="00E1489C">
        <w:rPr>
          <w:lang w:val="en-CA"/>
        </w:rPr>
        <w:t>atholog</w:t>
      </w:r>
      <w:r>
        <w:rPr>
          <w:lang w:val="en-CA"/>
        </w:rPr>
        <w:t>ists</w:t>
      </w:r>
      <w:r w:rsidRPr="00E1489C">
        <w:rPr>
          <w:lang w:val="en-CA"/>
        </w:rPr>
        <w:t xml:space="preserve">) guidelines ask </w:t>
      </w:r>
      <w:r>
        <w:rPr>
          <w:lang w:val="en-CA"/>
        </w:rPr>
        <w:t xml:space="preserve">in addition to the commonly encountered requirements </w:t>
      </w:r>
      <w:r w:rsidRPr="00E1489C">
        <w:rPr>
          <w:lang w:val="en-CA"/>
        </w:rPr>
        <w:t>a limited verification of linearity (verification of the reportable range for 3 points [low/midpoint/high])</w:t>
      </w:r>
      <w:r>
        <w:rPr>
          <w:lang w:val="en-CA"/>
        </w:rPr>
        <w:t xml:space="preserve"> </w:t>
      </w:r>
      <w:r>
        <w:rPr>
          <w:noProof/>
          <w:lang w:val="en-CA"/>
        </w:rPr>
        <w:t>(128)</w:t>
      </w:r>
      <w:r>
        <w:rPr>
          <w:lang w:val="en-CA"/>
        </w:rPr>
        <w:t>.</w:t>
      </w:r>
    </w:p>
    <w:p w:rsidR="003D11BA" w:rsidRPr="00132C03" w:rsidRDefault="003D11BA" w:rsidP="00212E31">
      <w:pPr>
        <w:jc w:val="both"/>
        <w:rPr>
          <w:lang w:val="en-US"/>
        </w:rPr>
      </w:pPr>
      <w:r w:rsidRPr="00E1489C">
        <w:rPr>
          <w:lang w:val="en-CA"/>
        </w:rPr>
        <w:t xml:space="preserve">When the laboratory uses non-standard (validated) methods, modifications of standard methods, standard methods used outside the intended scope or laboratory-designed or developed methods, validation is the responsibility of  the laboratory </w:t>
      </w:r>
      <w:r>
        <w:rPr>
          <w:noProof/>
          <w:lang w:val="en-CA"/>
        </w:rPr>
        <w:t>(115)</w:t>
      </w:r>
      <w:r w:rsidRPr="00E1489C">
        <w:rPr>
          <w:lang w:val="en-CA"/>
        </w:rPr>
        <w:t>.  The 2017 CE IVD Regulation will require laboratories that run laboratory developed tests to meet certain standards and to be compliant with the IVDR’s Annex 1 “General Safety and Performance Requirements” and quality management system framework</w:t>
      </w:r>
      <w:r>
        <w:rPr>
          <w:lang w:val="en-CA"/>
        </w:rPr>
        <w:t xml:space="preserve"> </w:t>
      </w:r>
      <w:r>
        <w:rPr>
          <w:noProof/>
          <w:lang w:val="en-CA"/>
        </w:rPr>
        <w:t>(130)</w:t>
      </w:r>
      <w:r>
        <w:rPr>
          <w:color w:val="FF0000"/>
          <w:sz w:val="16"/>
          <w:szCs w:val="16"/>
          <w:lang w:val="en-CA"/>
        </w:rPr>
        <w:t xml:space="preserve">. </w:t>
      </w:r>
      <w:r w:rsidRPr="00132C03">
        <w:rPr>
          <w:lang w:val="en-US"/>
        </w:rPr>
        <w:t>For non-FDA cleared tests, validation is required.</w:t>
      </w:r>
    </w:p>
    <w:p w:rsidR="003D11BA" w:rsidRPr="00E1489C" w:rsidRDefault="003D11BA" w:rsidP="00212E31">
      <w:pPr>
        <w:spacing w:line="240" w:lineRule="auto"/>
        <w:jc w:val="both"/>
        <w:rPr>
          <w:lang w:val="en-CA"/>
        </w:rPr>
      </w:pPr>
    </w:p>
    <w:p w:rsidR="003D11BA" w:rsidRPr="00671A79" w:rsidRDefault="003D11BA" w:rsidP="00212E31">
      <w:pPr>
        <w:spacing w:line="240" w:lineRule="auto"/>
        <w:jc w:val="both"/>
        <w:rPr>
          <w:i/>
          <w:lang w:val="en-US"/>
        </w:rPr>
      </w:pPr>
      <w:r w:rsidRPr="00671A79">
        <w:rPr>
          <w:i/>
          <w:lang w:val="en-US"/>
        </w:rPr>
        <w:t>Verification of a new HEp-2 IIF method</w:t>
      </w:r>
    </w:p>
    <w:p w:rsidR="003D11BA" w:rsidRPr="004E1515" w:rsidRDefault="003D11BA" w:rsidP="00212E31">
      <w:pPr>
        <w:spacing w:line="240" w:lineRule="auto"/>
        <w:jc w:val="both"/>
        <w:rPr>
          <w:rFonts w:cstheme="minorHAnsi"/>
          <w:lang w:val="en-CA"/>
        </w:rPr>
      </w:pPr>
      <w:r w:rsidRPr="00B452F0">
        <w:rPr>
          <w:rFonts w:cstheme="minorHAnsi"/>
          <w:lang w:val="en-CA"/>
        </w:rPr>
        <w:t xml:space="preserve">Detection of ANA by HEp 2 IIF is complex and prone to analytical variability.  There are various factors that contribute to the variability. </w:t>
      </w:r>
      <w:r w:rsidRPr="00D7574A">
        <w:rPr>
          <w:rFonts w:cstheme="minorHAnsi"/>
          <w:lang w:val="en-CA"/>
        </w:rPr>
        <w:t>The culture conditions, the fixation method (</w:t>
      </w:r>
      <w:r w:rsidRPr="007D680D">
        <w:rPr>
          <w:rFonts w:cstheme="minorHAnsi"/>
          <w:i/>
          <w:lang w:val="en-CA"/>
        </w:rPr>
        <w:t>e.g.</w:t>
      </w:r>
      <w:r w:rsidRPr="00B452F0">
        <w:rPr>
          <w:rFonts w:cstheme="minorHAnsi"/>
          <w:lang w:val="en-CA"/>
        </w:rPr>
        <w:t xml:space="preserve"> methanol, a</w:t>
      </w:r>
      <w:r w:rsidRPr="00D7574A">
        <w:rPr>
          <w:rFonts w:cstheme="minorHAnsi"/>
          <w:lang w:val="en-CA"/>
        </w:rPr>
        <w:t xml:space="preserve">ceton versus paraformaldehyde) and permeabilization method (e.g. Triton X-100) may affect the expression, preservation (or destruction) and accessibility of cellular antigens </w:t>
      </w:r>
      <w:r>
        <w:rPr>
          <w:rFonts w:cstheme="minorHAnsi"/>
          <w:noProof/>
          <w:lang w:val="en-CA"/>
        </w:rPr>
        <w:t>(64, 117, 139)</w:t>
      </w:r>
      <w:r w:rsidRPr="00D7574A">
        <w:rPr>
          <w:rFonts w:cstheme="minorHAnsi"/>
          <w:lang w:val="en-CA"/>
        </w:rPr>
        <w:t xml:space="preserve"> Optimal culture and fixation conditions may be antigen-specific </w:t>
      </w:r>
      <w:r>
        <w:rPr>
          <w:rFonts w:cstheme="minorHAnsi"/>
          <w:noProof/>
          <w:lang w:val="en-CA"/>
        </w:rPr>
        <w:t>(64, 117, 139)</w:t>
      </w:r>
      <w:r w:rsidRPr="00D7574A">
        <w:rPr>
          <w:rFonts w:cstheme="minorHAnsi"/>
          <w:lang w:val="en-CA"/>
        </w:rPr>
        <w:t>.  Moreover, results may be influenced by the fluorochrome-conjugated secondary antibody (isotype, species, nature of immunogen, purification method, fluorescein/protein molar ratio, anti-fading treatment and concentration), the inc</w:t>
      </w:r>
      <w:r w:rsidRPr="00485A7A">
        <w:rPr>
          <w:rFonts w:cstheme="minorHAnsi"/>
          <w:lang w:val="en-CA"/>
        </w:rPr>
        <w:t xml:space="preserve">ubation medium, blocking solution, washing buffer and mounting medium </w:t>
      </w:r>
      <w:r>
        <w:rPr>
          <w:rFonts w:cstheme="minorHAnsi"/>
          <w:noProof/>
          <w:lang w:val="en-CA"/>
        </w:rPr>
        <w:t>(117, 139)</w:t>
      </w:r>
      <w:r w:rsidRPr="00485A7A">
        <w:rPr>
          <w:rFonts w:cstheme="minorHAnsi"/>
          <w:lang w:val="en-CA"/>
        </w:rPr>
        <w:t>.  The equipment used and the operating procedures applied can further contribute to analytical variability.  For a detailed description of the HEp-2 IIF method and reagents, see</w:t>
      </w:r>
      <w:r>
        <w:rPr>
          <w:rFonts w:cstheme="minorHAnsi"/>
          <w:lang w:val="en-CA"/>
        </w:rPr>
        <w:t xml:space="preserve"> </w:t>
      </w:r>
      <w:r>
        <w:rPr>
          <w:rFonts w:cstheme="minorHAnsi"/>
          <w:noProof/>
          <w:lang w:val="en-CA"/>
        </w:rPr>
        <w:t>(117)</w:t>
      </w:r>
      <w:r w:rsidRPr="00485A7A">
        <w:rPr>
          <w:rFonts w:cstheme="minorHAnsi"/>
          <w:lang w:val="en-CA"/>
        </w:rPr>
        <w:t xml:space="preserve">.  Delavance </w:t>
      </w:r>
      <w:r w:rsidRPr="00202124">
        <w:rPr>
          <w:rFonts w:cstheme="minorHAnsi"/>
          <w:i/>
          <w:lang w:val="en-CA"/>
        </w:rPr>
        <w:t>et al.</w:t>
      </w:r>
      <w:r w:rsidRPr="00485A7A">
        <w:rPr>
          <w:rFonts w:cstheme="minorHAnsi"/>
          <w:lang w:val="en-CA"/>
        </w:rPr>
        <w:t xml:space="preserve"> studied the variability in pattern recognition between different brands of HEp-2 slides and found that different commercial brands can produce different staining patterns for</w:t>
      </w:r>
      <w:r w:rsidRPr="004E1515">
        <w:rPr>
          <w:rFonts w:cstheme="minorHAnsi"/>
          <w:lang w:val="en-CA"/>
        </w:rPr>
        <w:t xml:space="preserve"> the same serum or can give different results in terms of positivity/negativity </w:t>
      </w:r>
      <w:r>
        <w:rPr>
          <w:rFonts w:cstheme="minorHAnsi"/>
          <w:noProof/>
          <w:lang w:val="en-CA"/>
        </w:rPr>
        <w:t>(64)</w:t>
      </w:r>
      <w:r w:rsidRPr="004E1515">
        <w:rPr>
          <w:rFonts w:cstheme="minorHAnsi"/>
          <w:lang w:val="en-CA"/>
        </w:rPr>
        <w:t>.  Marked differences were found for the cytoplasmic speckled pattern associated with anti-Jo-1, the PCNA-like pattern and CENP-F</w:t>
      </w:r>
      <w:r>
        <w:rPr>
          <w:rFonts w:cstheme="minorHAnsi"/>
          <w:lang w:val="en-CA"/>
        </w:rPr>
        <w:t xml:space="preserve"> </w:t>
      </w:r>
      <w:r>
        <w:rPr>
          <w:rFonts w:cstheme="minorHAnsi"/>
          <w:noProof/>
          <w:lang w:val="en-CA"/>
        </w:rPr>
        <w:t>(64)</w:t>
      </w:r>
      <w:r w:rsidRPr="004E1515">
        <w:rPr>
          <w:rFonts w:cstheme="minorHAnsi"/>
          <w:lang w:val="en-CA"/>
        </w:rPr>
        <w:t xml:space="preserve">.  </w:t>
      </w:r>
    </w:p>
    <w:p w:rsidR="003D11BA" w:rsidRDefault="003D11BA" w:rsidP="00212E31">
      <w:pPr>
        <w:spacing w:line="240" w:lineRule="auto"/>
        <w:jc w:val="both"/>
        <w:rPr>
          <w:lang w:val="en-CA"/>
        </w:rPr>
      </w:pPr>
      <w:r>
        <w:rPr>
          <w:rFonts w:cstheme="minorHAnsi"/>
          <w:lang w:val="en-CA"/>
        </w:rPr>
        <w:t xml:space="preserve">Only limited published guidelines focussing </w:t>
      </w:r>
      <w:r w:rsidRPr="007D680D">
        <w:rPr>
          <w:rFonts w:cstheme="minorHAnsi"/>
          <w:lang w:val="en-CA"/>
        </w:rPr>
        <w:t xml:space="preserve">on </w:t>
      </w:r>
      <w:r>
        <w:rPr>
          <w:rFonts w:cstheme="minorHAnsi"/>
          <w:lang w:val="en-CA"/>
        </w:rPr>
        <w:t xml:space="preserve">validation/verification of </w:t>
      </w:r>
      <w:r w:rsidRPr="00A320C6">
        <w:rPr>
          <w:rFonts w:cstheme="minorHAnsi"/>
          <w:lang w:val="en-CA"/>
        </w:rPr>
        <w:t xml:space="preserve">autoantibody and/or ANA </w:t>
      </w:r>
      <w:r>
        <w:rPr>
          <w:rFonts w:cstheme="minorHAnsi"/>
          <w:lang w:val="en-CA"/>
        </w:rPr>
        <w:t>analysis</w:t>
      </w:r>
      <w:r w:rsidRPr="00A320C6">
        <w:rPr>
          <w:rFonts w:cstheme="minorHAnsi"/>
          <w:lang w:val="en-CA"/>
        </w:rPr>
        <w:t xml:space="preserve"> are available (</w:t>
      </w:r>
      <w:r>
        <w:rPr>
          <w:rFonts w:cstheme="minorHAnsi"/>
          <w:lang w:val="en-CA"/>
        </w:rPr>
        <w:t xml:space="preserve">overview in </w:t>
      </w:r>
      <w:r w:rsidRPr="00A320C6">
        <w:rPr>
          <w:rFonts w:cstheme="minorHAnsi"/>
          <w:lang w:val="en-CA"/>
        </w:rPr>
        <w:t>Table 2B).</w:t>
      </w:r>
      <w:r>
        <w:rPr>
          <w:rFonts w:cstheme="minorHAnsi"/>
          <w:lang w:val="en-CA"/>
        </w:rPr>
        <w:t xml:space="preserve"> </w:t>
      </w:r>
      <w:r>
        <w:rPr>
          <w:lang w:val="en-CA"/>
        </w:rPr>
        <w:t xml:space="preserve">In addition, several CLSI guidelines may be useful as guidance for development of the validation/verification plan (e.g. </w:t>
      </w:r>
      <w:r>
        <w:rPr>
          <w:rFonts w:cstheme="minorHAnsi"/>
          <w:lang w:val="en-US"/>
        </w:rPr>
        <w:t>CLSI EP12-A2</w:t>
      </w:r>
      <w:r>
        <w:rPr>
          <w:rFonts w:cstheme="minorHAnsi"/>
          <w:noProof/>
          <w:lang w:val="en-US"/>
        </w:rPr>
        <w:t>(136)</w:t>
      </w:r>
      <w:r>
        <w:rPr>
          <w:rFonts w:cstheme="minorHAnsi"/>
          <w:lang w:val="en-US"/>
        </w:rPr>
        <w:t xml:space="preserve">, </w:t>
      </w:r>
      <w:r w:rsidRPr="004E1515">
        <w:rPr>
          <w:rFonts w:cstheme="minorHAnsi"/>
          <w:lang w:val="en-US"/>
        </w:rPr>
        <w:t>CLSI</w:t>
      </w:r>
      <w:r>
        <w:rPr>
          <w:rFonts w:cstheme="minorHAnsi"/>
          <w:lang w:val="en-US"/>
        </w:rPr>
        <w:t xml:space="preserve"> EP15-A3</w:t>
      </w:r>
      <w:r>
        <w:rPr>
          <w:rFonts w:cstheme="minorHAnsi"/>
          <w:noProof/>
          <w:lang w:val="en-US"/>
        </w:rPr>
        <w:t>(135)</w:t>
      </w:r>
      <w:r>
        <w:rPr>
          <w:rFonts w:cstheme="minorHAnsi"/>
          <w:lang w:val="en-US"/>
        </w:rPr>
        <w:t>).</w:t>
      </w:r>
    </w:p>
    <w:p w:rsidR="003D11BA" w:rsidRDefault="003D11BA" w:rsidP="00212E31">
      <w:pPr>
        <w:spacing w:line="240" w:lineRule="auto"/>
        <w:jc w:val="both"/>
        <w:rPr>
          <w:rFonts w:cstheme="minorHAnsi"/>
          <w:lang w:val="en-CA"/>
        </w:rPr>
      </w:pPr>
      <w:r w:rsidRPr="00B452F0">
        <w:rPr>
          <w:rFonts w:cstheme="minorHAnsi"/>
          <w:lang w:val="en-CA"/>
        </w:rPr>
        <w:t>The verific</w:t>
      </w:r>
      <w:r w:rsidRPr="00D7574A">
        <w:rPr>
          <w:rFonts w:cstheme="minorHAnsi"/>
          <w:lang w:val="en-CA"/>
        </w:rPr>
        <w:t>ation of a new ANA method starts with controlling the Hep2/2000</w:t>
      </w:r>
      <w:r w:rsidRPr="00485A7A">
        <w:rPr>
          <w:rFonts w:cstheme="minorHAnsi"/>
          <w:lang w:val="en-CA"/>
        </w:rPr>
        <w:t xml:space="preserve"> cell density, distribution, morphology and number of mitotic cells </w:t>
      </w:r>
      <w:r>
        <w:rPr>
          <w:rFonts w:cstheme="minorHAnsi"/>
          <w:lang w:val="en-CA"/>
        </w:rPr>
        <w:t xml:space="preserve">(3 – 5/field at 200x) </w:t>
      </w:r>
      <w:r>
        <w:rPr>
          <w:rFonts w:cstheme="minorHAnsi"/>
          <w:noProof/>
          <w:lang w:val="en-CA"/>
        </w:rPr>
        <w:t>(118)</w:t>
      </w:r>
      <w:r w:rsidRPr="00485A7A">
        <w:rPr>
          <w:rFonts w:cstheme="minorHAnsi"/>
          <w:lang w:val="en-CA"/>
        </w:rPr>
        <w:t>. The EASI recommendations for autoantibody test validation</w:t>
      </w:r>
      <w:r w:rsidRPr="00B452F0">
        <w:rPr>
          <w:rFonts w:cstheme="minorHAnsi"/>
          <w:lang w:val="en-CA"/>
        </w:rPr>
        <w:t xml:space="preserve"> minimally suggest to evaluate trueness (</w:t>
      </w:r>
      <w:r w:rsidRPr="00D7574A">
        <w:rPr>
          <w:rFonts w:cstheme="minorHAnsi"/>
          <w:lang w:val="en-CA"/>
        </w:rPr>
        <w:t xml:space="preserve">by method comparison), repeatability and intermediate imprecision as well as verification of the reference limits </w:t>
      </w:r>
      <w:r>
        <w:rPr>
          <w:rFonts w:cstheme="minorHAnsi"/>
          <w:noProof/>
          <w:lang w:val="en-CA"/>
        </w:rPr>
        <w:t>(116)</w:t>
      </w:r>
      <w:r w:rsidRPr="00D7574A">
        <w:rPr>
          <w:rFonts w:cstheme="minorHAnsi"/>
          <w:lang w:val="en-CA"/>
        </w:rPr>
        <w:t xml:space="preserve">(Sach2020), in line with requirements </w:t>
      </w:r>
      <w:r w:rsidRPr="00485A7A">
        <w:rPr>
          <w:rFonts w:cstheme="minorHAnsi"/>
          <w:lang w:val="en-CA"/>
        </w:rPr>
        <w:t>defined in ISO and national translations/interpretation</w:t>
      </w:r>
      <w:r>
        <w:rPr>
          <w:rFonts w:cstheme="minorHAnsi"/>
          <w:lang w:val="en-CA"/>
        </w:rPr>
        <w:t xml:space="preserve"> (Table 2A)</w:t>
      </w:r>
    </w:p>
    <w:p w:rsidR="003D11BA" w:rsidRPr="00485A7A" w:rsidRDefault="003D11BA" w:rsidP="00212E31">
      <w:pPr>
        <w:spacing w:line="240" w:lineRule="auto"/>
        <w:jc w:val="both"/>
        <w:rPr>
          <w:rFonts w:cstheme="minorHAnsi"/>
          <w:lang w:val="en-CA"/>
        </w:rPr>
      </w:pPr>
    </w:p>
    <w:p w:rsidR="003D11BA" w:rsidRPr="0005570C" w:rsidRDefault="003D11BA" w:rsidP="00212E31">
      <w:pPr>
        <w:spacing w:line="240" w:lineRule="auto"/>
        <w:jc w:val="both"/>
        <w:rPr>
          <w:rFonts w:cstheme="minorHAnsi"/>
          <w:i/>
          <w:lang w:val="en-US"/>
        </w:rPr>
      </w:pPr>
      <w:r w:rsidRPr="0005570C">
        <w:rPr>
          <w:rFonts w:cstheme="minorHAnsi"/>
          <w:i/>
          <w:lang w:val="en-US"/>
        </w:rPr>
        <w:t>Verification of trueness (by method comparison)</w:t>
      </w:r>
    </w:p>
    <w:p w:rsidR="003D11BA" w:rsidRPr="007D680D" w:rsidRDefault="003D11BA" w:rsidP="00212E31">
      <w:pPr>
        <w:spacing w:line="240" w:lineRule="auto"/>
        <w:jc w:val="both"/>
        <w:rPr>
          <w:rFonts w:cstheme="minorHAnsi"/>
          <w:lang w:val="en-US"/>
        </w:rPr>
      </w:pPr>
      <w:r w:rsidRPr="007D680D">
        <w:rPr>
          <w:rFonts w:cstheme="minorHAnsi"/>
          <w:lang w:val="en-US"/>
        </w:rPr>
        <w:t xml:space="preserve">Each laboratory should demonstrate in a method comparison that its ANA method detects the major clinically relevant patterns as well as the major clinically relevant antigen reactivities, both in the nuclear and the cytoplasmic compartment, given the variability in the recognition of immunofluorescence patterns between different HEp-2 brands </w:t>
      </w:r>
      <w:r>
        <w:rPr>
          <w:rFonts w:cstheme="minorHAnsi"/>
          <w:noProof/>
          <w:lang w:val="en-US"/>
        </w:rPr>
        <w:t>(5, 58, 64, 118)</w:t>
      </w:r>
      <w:r w:rsidRPr="007D680D">
        <w:rPr>
          <w:rFonts w:cstheme="minorHAnsi"/>
          <w:lang w:val="en-US"/>
        </w:rPr>
        <w:t xml:space="preserve">. In a method comparison this ability is compared between the comparative method and the new HEp-2 IIF method, </w:t>
      </w:r>
      <w:r w:rsidRPr="007D680D">
        <w:rPr>
          <w:rFonts w:cstheme="minorHAnsi"/>
          <w:lang w:val="en-US"/>
        </w:rPr>
        <w:lastRenderedPageBreak/>
        <w:t xml:space="preserve">with the comparative method being either the old/former HEp-2 IIF method or ideally, a combination of methods allowing for the detection of patterns/specific antigen reactivities (including also solid phase assays). It </w:t>
      </w:r>
      <w:r>
        <w:rPr>
          <w:rFonts w:cstheme="minorHAnsi"/>
          <w:lang w:val="en-US"/>
        </w:rPr>
        <w:t>is</w:t>
      </w:r>
      <w:r w:rsidRPr="007D680D">
        <w:rPr>
          <w:rFonts w:cstheme="minorHAnsi"/>
          <w:lang w:val="en-US"/>
        </w:rPr>
        <w:t xml:space="preserve"> recommended by the </w:t>
      </w:r>
      <w:r w:rsidRPr="007D680D">
        <w:rPr>
          <w:rFonts w:cstheme="minorHAnsi"/>
          <w:i/>
          <w:lang w:val="en-US"/>
        </w:rPr>
        <w:t>Brazilian consensus guidelines for detection of anti-cell autoantibodies</w:t>
      </w:r>
      <w:r w:rsidRPr="007D680D">
        <w:rPr>
          <w:rFonts w:cstheme="minorHAnsi"/>
          <w:lang w:val="en-US"/>
        </w:rPr>
        <w:t xml:space="preserve"> that each new brand should be tested with a panel of reference sera representing the various patterns, preferentially covering the different cell compartments</w:t>
      </w:r>
      <w:r w:rsidRPr="007D680D">
        <w:rPr>
          <w:rFonts w:cstheme="minorHAnsi"/>
          <w:color w:val="131413"/>
          <w:lang w:val="en-US"/>
        </w:rPr>
        <w:t xml:space="preserve"> </w:t>
      </w:r>
      <w:r>
        <w:rPr>
          <w:rFonts w:cstheme="minorHAnsi"/>
          <w:noProof/>
          <w:color w:val="131413"/>
          <w:lang w:val="en-US"/>
        </w:rPr>
        <w:t>(58)</w:t>
      </w:r>
      <w:r w:rsidRPr="007D680D">
        <w:rPr>
          <w:rFonts w:cstheme="minorHAnsi"/>
          <w:lang w:val="en-US"/>
        </w:rPr>
        <w:t>. These guidelines d</w:t>
      </w:r>
      <w:r>
        <w:rPr>
          <w:rFonts w:cstheme="minorHAnsi"/>
          <w:lang w:val="en-US"/>
        </w:rPr>
        <w:t>o</w:t>
      </w:r>
      <w:r w:rsidRPr="007D680D">
        <w:rPr>
          <w:rFonts w:cstheme="minorHAnsi"/>
          <w:lang w:val="en-US"/>
        </w:rPr>
        <w:t xml:space="preserve"> not list the patterns that should be included in the panel, but d</w:t>
      </w:r>
      <w:r>
        <w:rPr>
          <w:rFonts w:cstheme="minorHAnsi"/>
          <w:lang w:val="en-US"/>
        </w:rPr>
        <w:t>o</w:t>
      </w:r>
      <w:r w:rsidRPr="00A320C6">
        <w:rPr>
          <w:rFonts w:cstheme="minorHAnsi"/>
          <w:lang w:val="en-US"/>
        </w:rPr>
        <w:t xml:space="preserve"> list some patterns/reactivities for </w:t>
      </w:r>
      <w:r w:rsidRPr="007D680D">
        <w:rPr>
          <w:rFonts w:cstheme="minorHAnsi"/>
          <w:lang w:val="en-US"/>
        </w:rPr>
        <w:t>which substrates can experience problems (e.g. anti-SSA, anti-RNP/Sm, anti-PCNA, anti-CENP-F, anti-Jo-1, anti-NuMA-1-like, anti-N</w:t>
      </w:r>
      <w:r>
        <w:rPr>
          <w:rFonts w:cstheme="minorHAnsi"/>
          <w:lang w:val="en-US"/>
        </w:rPr>
        <w:t>uMA-2, rods and rings). The</w:t>
      </w:r>
      <w:r w:rsidRPr="007D2350">
        <w:rPr>
          <w:rFonts w:cstheme="minorHAnsi"/>
          <w:lang w:val="en-US"/>
        </w:rPr>
        <w:t xml:space="preserve"> 2009 </w:t>
      </w:r>
      <w:r w:rsidRPr="007D680D">
        <w:rPr>
          <w:rFonts w:cstheme="minorHAnsi"/>
          <w:lang w:val="en-US"/>
        </w:rPr>
        <w:t>German EASI guidelines recommend analysis of minimally 3 positive samples with different fluorescence patterns resulting from defined antibody reactivity (e.g. centromere, dsDNA, Ro/S</w:t>
      </w:r>
      <w:r>
        <w:rPr>
          <w:rFonts w:cstheme="minorHAnsi"/>
          <w:lang w:val="en-US"/>
        </w:rPr>
        <w:t xml:space="preserve">S-A) </w:t>
      </w:r>
      <w:r>
        <w:rPr>
          <w:rFonts w:cstheme="minorHAnsi"/>
          <w:noProof/>
          <w:lang w:val="en-US"/>
        </w:rPr>
        <w:t>(118)</w:t>
      </w:r>
      <w:r w:rsidRPr="007D680D">
        <w:rPr>
          <w:rFonts w:cstheme="minorHAnsi"/>
          <w:lang w:val="en-US"/>
        </w:rPr>
        <w:t>. CLSI LA02-A2 recommends evaluation of the detection of clinically significant autoantibodies (dsDNA, U1RNP, Sm, SS-A, SS-B, Scl-70, CENP, Jo-1)</w:t>
      </w:r>
      <w:r>
        <w:rPr>
          <w:rFonts w:cstheme="minorHAnsi"/>
          <w:noProof/>
          <w:lang w:val="en-US"/>
        </w:rPr>
        <w:t>(41)</w:t>
      </w:r>
      <w:r w:rsidRPr="007D680D">
        <w:rPr>
          <w:rFonts w:cstheme="minorHAnsi"/>
          <w:lang w:val="en-US"/>
        </w:rPr>
        <w:t>.</w:t>
      </w:r>
    </w:p>
    <w:p w:rsidR="003D11BA" w:rsidRPr="007D680D" w:rsidRDefault="003D11BA" w:rsidP="00212E31">
      <w:pPr>
        <w:spacing w:line="240" w:lineRule="auto"/>
        <w:jc w:val="both"/>
        <w:rPr>
          <w:rFonts w:cstheme="minorHAnsi"/>
          <w:lang w:val="en-US"/>
        </w:rPr>
      </w:pPr>
      <w:r w:rsidRPr="007D680D">
        <w:rPr>
          <w:rFonts w:cstheme="minorHAnsi"/>
          <w:lang w:val="en-US"/>
        </w:rPr>
        <w:t>The minimum number of samples to be compared in a method comparison is a matter of debate. According to the CLSI EP12-A2 user protocol for evaluation of qualitative test performance, at least 50 samples positive with both the new and comparative method (analytical sensitivity) and at least 50 samples negative with the comparative method (analytical specificity) should be tested</w:t>
      </w:r>
      <w:r>
        <w:rPr>
          <w:rFonts w:cstheme="minorHAnsi"/>
          <w:lang w:val="en-US"/>
        </w:rPr>
        <w:t xml:space="preserve"> </w:t>
      </w:r>
      <w:r>
        <w:rPr>
          <w:rFonts w:cstheme="minorHAnsi"/>
          <w:noProof/>
          <w:lang w:val="en-US"/>
        </w:rPr>
        <w:t>(136)</w:t>
      </w:r>
      <w:r w:rsidRPr="007D680D">
        <w:rPr>
          <w:rFonts w:cstheme="minorHAnsi"/>
          <w:lang w:val="en-US"/>
        </w:rPr>
        <w:t xml:space="preserve">. In a recent EASI paper on quality and best practice in autoimmune laboratories </w:t>
      </w:r>
      <w:r>
        <w:rPr>
          <w:rFonts w:cstheme="minorHAnsi"/>
          <w:noProof/>
          <w:lang w:val="en-US"/>
        </w:rPr>
        <w:t>(116)</w:t>
      </w:r>
      <w:r>
        <w:rPr>
          <w:rFonts w:cstheme="minorHAnsi"/>
          <w:lang w:val="en-US"/>
        </w:rPr>
        <w:t>,</w:t>
      </w:r>
      <w:r w:rsidRPr="007D680D">
        <w:rPr>
          <w:rFonts w:cstheme="minorHAnsi"/>
          <w:lang w:val="en-US"/>
        </w:rPr>
        <w:t xml:space="preserve"> it is proposed to verify analytical sensitivity and specificity with a method comparison comprising optimally of 50 known positive (analytical sensitivity) and 100 known negative sera (analytical specificity) with a minimum of 30 comparisons including at least 10 positive and 10 negative samples. This minimum was based on the requirements for performing Kappa statistic </w:t>
      </w:r>
      <w:r>
        <w:rPr>
          <w:rFonts w:cstheme="minorHAnsi"/>
          <w:noProof/>
          <w:lang w:val="en-US"/>
        </w:rPr>
        <w:t>(140)</w:t>
      </w:r>
      <w:r w:rsidRPr="007D680D">
        <w:rPr>
          <w:rFonts w:cstheme="minorHAnsi"/>
          <w:lang w:val="en-US"/>
        </w:rPr>
        <w:t>.</w:t>
      </w:r>
    </w:p>
    <w:p w:rsidR="003D11BA" w:rsidRDefault="003D11BA" w:rsidP="00212E31">
      <w:pPr>
        <w:spacing w:line="240" w:lineRule="auto"/>
        <w:jc w:val="both"/>
        <w:rPr>
          <w:rFonts w:cstheme="minorHAnsi"/>
          <w:lang w:val="en-US"/>
        </w:rPr>
      </w:pPr>
      <w:r w:rsidRPr="007D680D">
        <w:rPr>
          <w:rFonts w:cstheme="minorHAnsi"/>
          <w:lang w:val="en-US"/>
        </w:rPr>
        <w:t xml:space="preserve">We recommend to verify at least the following clinically-relevant patterns and reactivities (i.e. those that are comprised in classification/diagnostic criteria): the nuclear homogeneous (AC-1), speckled (AC-2/4)/5), nucleolar (AC-8/9/10), centromere (AC-3), multiple nuclear dots (AC-6) and nuclear envelope pattern (AC-11/12), as well as the cytoplasmic speckled (AC-19/20) and reticular/anti-mitochondrial pattern (AC-21); dsDNA , SSA, Sm/RNP, CENPB, Scl70, RNA-polymerase III, Jo-1, sp100, gp210, and AMA-M2. We propose that the detection of each of the clinically important patterns/reactivities mentioned above should be confirmed in preferentially 5 samples per pattern/reactivity, if possible. In addition, at least 10 negative samples should be included in the comparison. For rare antibodies, laboratories can refer to publications or participate in inter-laboratory collaborations such as the Dutch initiative for national validation/verification of autoantibody assays </w:t>
      </w:r>
      <w:r>
        <w:rPr>
          <w:rFonts w:cstheme="minorHAnsi"/>
          <w:noProof/>
          <w:lang w:val="en-US"/>
        </w:rPr>
        <w:t>(141)</w:t>
      </w:r>
      <w:r w:rsidRPr="007D680D">
        <w:rPr>
          <w:rFonts w:cstheme="minorHAnsi"/>
          <w:lang w:val="en-US"/>
        </w:rPr>
        <w:t xml:space="preserve">. </w:t>
      </w:r>
    </w:p>
    <w:p w:rsidR="003D11BA" w:rsidRDefault="003D11BA" w:rsidP="00212E31">
      <w:pPr>
        <w:spacing w:line="240" w:lineRule="auto"/>
        <w:jc w:val="both"/>
        <w:rPr>
          <w:rFonts w:cstheme="minorHAnsi"/>
          <w:lang w:val="en-US"/>
        </w:rPr>
      </w:pPr>
    </w:p>
    <w:p w:rsidR="003D11BA" w:rsidRPr="004E1515"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cstheme="minorHAnsi"/>
          <w:lang w:val="en-US"/>
        </w:rPr>
      </w:pPr>
      <w:r w:rsidRPr="00CB62CB">
        <w:rPr>
          <w:rFonts w:cstheme="minorHAnsi"/>
          <w:lang w:val="en-US"/>
        </w:rPr>
        <w:t xml:space="preserve">Each laboratory should demonstrate in a method comparison that its </w:t>
      </w:r>
      <w:r>
        <w:rPr>
          <w:rFonts w:cstheme="minorHAnsi"/>
          <w:lang w:val="en-US"/>
        </w:rPr>
        <w:t>HEp-2 IIF</w:t>
      </w:r>
      <w:r w:rsidRPr="00CB62CB">
        <w:rPr>
          <w:rFonts w:cstheme="minorHAnsi"/>
          <w:lang w:val="en-US"/>
        </w:rPr>
        <w:t xml:space="preserve"> method detects the major clinically relevant patterns as well as the major clinically relevant antigen reactivities, both in the nuclear and the cytoplasmic compartment</w:t>
      </w:r>
      <w:r>
        <w:rPr>
          <w:rFonts w:cstheme="minorHAnsi"/>
          <w:lang w:val="en-US"/>
        </w:rPr>
        <w:t xml:space="preserve">.  </w:t>
      </w:r>
    </w:p>
    <w:p w:rsidR="003D11BA" w:rsidRPr="004E1515" w:rsidRDefault="003D11BA" w:rsidP="00212E31">
      <w:pPr>
        <w:spacing w:line="240" w:lineRule="auto"/>
        <w:jc w:val="both"/>
        <w:rPr>
          <w:rFonts w:cstheme="minorHAnsi"/>
          <w:lang w:val="en-US"/>
        </w:rPr>
      </w:pPr>
    </w:p>
    <w:p w:rsidR="003D11BA" w:rsidRPr="0005570C" w:rsidRDefault="003D11BA" w:rsidP="00212E31">
      <w:pPr>
        <w:spacing w:line="240" w:lineRule="auto"/>
        <w:jc w:val="both"/>
        <w:rPr>
          <w:rFonts w:cstheme="minorHAnsi"/>
          <w:i/>
          <w:lang w:val="en-CA"/>
        </w:rPr>
      </w:pPr>
      <w:r w:rsidRPr="0005570C">
        <w:rPr>
          <w:rFonts w:cstheme="minorHAnsi"/>
          <w:i/>
          <w:lang w:val="en-CA"/>
        </w:rPr>
        <w:t xml:space="preserve">Verification of precision </w:t>
      </w:r>
    </w:p>
    <w:p w:rsidR="003D11BA" w:rsidRDefault="003D11BA" w:rsidP="00212E31">
      <w:pPr>
        <w:autoSpaceDE w:val="0"/>
        <w:autoSpaceDN w:val="0"/>
        <w:adjustRightInd w:val="0"/>
        <w:spacing w:after="0" w:line="240" w:lineRule="auto"/>
        <w:jc w:val="both"/>
        <w:rPr>
          <w:rFonts w:cstheme="minorHAnsi"/>
          <w:lang w:val="en-US"/>
        </w:rPr>
      </w:pPr>
      <w:r w:rsidRPr="004E1515">
        <w:rPr>
          <w:rFonts w:cstheme="minorHAnsi"/>
          <w:lang w:val="en-US"/>
        </w:rPr>
        <w:t>Verification of precision is an essential part of the method verification process</w:t>
      </w:r>
      <w:r>
        <w:rPr>
          <w:rFonts w:cstheme="minorHAnsi"/>
          <w:lang w:val="en-US"/>
        </w:rPr>
        <w:t xml:space="preserve"> </w:t>
      </w:r>
      <w:r>
        <w:rPr>
          <w:rFonts w:cstheme="minorHAnsi"/>
          <w:noProof/>
          <w:lang w:val="en-US"/>
        </w:rPr>
        <w:t>(120, 141, 142)</w:t>
      </w:r>
      <w:r w:rsidRPr="004E1515">
        <w:rPr>
          <w:rFonts w:cstheme="minorHAnsi"/>
          <w:lang w:val="en-US"/>
        </w:rPr>
        <w:t xml:space="preserve">. Recent EASI </w:t>
      </w:r>
      <w:r w:rsidRPr="004E1515">
        <w:rPr>
          <w:rStyle w:val="CommentReference"/>
          <w:rFonts w:cstheme="minorHAnsi"/>
          <w:lang w:val="en-US"/>
        </w:rPr>
        <w:t xml:space="preserve"> </w:t>
      </w:r>
      <w:r w:rsidRPr="004E1515">
        <w:rPr>
          <w:rFonts w:cstheme="minorHAnsi"/>
          <w:lang w:val="en-US"/>
        </w:rPr>
        <w:t>recommendations for autoantibody tests in general propose to test 10 replicates of a negative and 10 replicates of a positive sample (preferentially a low, medium and high titer sample), within the same run and  between different run</w:t>
      </w:r>
      <w:r w:rsidRPr="00E1489C">
        <w:rPr>
          <w:rFonts w:cstheme="minorHAnsi"/>
          <w:lang w:val="en-US"/>
        </w:rPr>
        <w:t>s</w:t>
      </w:r>
      <w:r>
        <w:rPr>
          <w:rFonts w:cstheme="minorHAnsi"/>
          <w:lang w:val="en-US"/>
        </w:rPr>
        <w:t xml:space="preserve"> (116) </w:t>
      </w:r>
      <w:r w:rsidRPr="004E1515">
        <w:rPr>
          <w:rFonts w:cstheme="minorHAnsi"/>
          <w:lang w:val="en-US"/>
        </w:rPr>
        <w:t>. The number of proposed replicates by EASI is remarkably lower than the number of replicates suggested in established (inter)national guidelines on calculating intra- and inter-run variability (e.g. 30 replicates over 15 days in the French accreditation guidelines</w:t>
      </w:r>
      <w:r>
        <w:rPr>
          <w:rFonts w:cstheme="minorHAnsi"/>
          <w:lang w:val="en-US"/>
        </w:rPr>
        <w:t xml:space="preserve"> </w:t>
      </w:r>
      <w:r>
        <w:rPr>
          <w:rFonts w:cstheme="minorHAnsi"/>
          <w:noProof/>
          <w:lang w:val="en-US"/>
        </w:rPr>
        <w:t>(120)</w:t>
      </w:r>
      <w:r>
        <w:rPr>
          <w:rFonts w:cstheme="minorHAnsi"/>
          <w:lang w:val="en-US"/>
        </w:rPr>
        <w:t xml:space="preserve">, 25 replicates over 5 days according to CLSI </w:t>
      </w:r>
      <w:r>
        <w:rPr>
          <w:rFonts w:cstheme="minorHAnsi"/>
          <w:noProof/>
          <w:lang w:val="en-US"/>
        </w:rPr>
        <w:t>(135)</w:t>
      </w:r>
      <w:r>
        <w:rPr>
          <w:rFonts w:cstheme="minorHAnsi"/>
          <w:lang w:val="en-US"/>
        </w:rPr>
        <w:t xml:space="preserve">).  The EASI guideline was </w:t>
      </w:r>
      <w:r w:rsidRPr="004E1515">
        <w:rPr>
          <w:rFonts w:cstheme="minorHAnsi"/>
          <w:lang w:val="en-US"/>
        </w:rPr>
        <w:t xml:space="preserve">based on the conclusion of Senant and colleagues that &gt;10 measurements for either intra- or inter-run CVs will not improve the estimation of the assay precision, whatever the type of immunoassay used </w:t>
      </w:r>
      <w:r>
        <w:rPr>
          <w:rFonts w:cstheme="minorHAnsi"/>
          <w:noProof/>
          <w:lang w:val="en-US"/>
        </w:rPr>
        <w:t>(116, 143)</w:t>
      </w:r>
      <w:r w:rsidRPr="004E1515">
        <w:rPr>
          <w:rFonts w:cstheme="minorHAnsi"/>
          <w:lang w:val="en-US"/>
        </w:rPr>
        <w:t xml:space="preserve">. </w:t>
      </w:r>
    </w:p>
    <w:p w:rsidR="003D11BA" w:rsidRPr="007415EE" w:rsidRDefault="003D11BA" w:rsidP="00212E31">
      <w:pPr>
        <w:spacing w:after="0" w:line="240" w:lineRule="auto"/>
        <w:ind w:left="284"/>
        <w:rPr>
          <w:sz w:val="16"/>
          <w:szCs w:val="16"/>
          <w:lang w:val="en-CA"/>
        </w:rPr>
      </w:pPr>
    </w:p>
    <w:p w:rsidR="003D11BA" w:rsidRPr="00A1084B" w:rsidRDefault="003D11BA" w:rsidP="00212E31">
      <w:pPr>
        <w:autoSpaceDE w:val="0"/>
        <w:autoSpaceDN w:val="0"/>
        <w:adjustRightInd w:val="0"/>
        <w:spacing w:after="0" w:line="240" w:lineRule="auto"/>
        <w:jc w:val="both"/>
        <w:rPr>
          <w:color w:val="000000" w:themeColor="text1"/>
          <w:lang w:val="en-US"/>
        </w:rPr>
      </w:pPr>
      <w:r w:rsidRPr="00A1084B">
        <w:rPr>
          <w:color w:val="000000" w:themeColor="text1"/>
          <w:lang w:val="en-US"/>
        </w:rPr>
        <w:lastRenderedPageBreak/>
        <w:t>Evaluating precision for Hep-2 IIF is challenging, and the preferred strategy will depend on how the data are considered: binomial (positive/negative),  ordinal (titers) or continuous (FI results).</w:t>
      </w:r>
    </w:p>
    <w:p w:rsidR="003D11BA" w:rsidRDefault="003D11BA" w:rsidP="00212E31">
      <w:pPr>
        <w:autoSpaceDE w:val="0"/>
        <w:autoSpaceDN w:val="0"/>
        <w:adjustRightInd w:val="0"/>
        <w:spacing w:after="0" w:line="240" w:lineRule="auto"/>
        <w:jc w:val="both"/>
        <w:rPr>
          <w:color w:val="000000" w:themeColor="text1"/>
          <w:lang w:val="en-US"/>
        </w:rPr>
      </w:pPr>
      <w:r w:rsidRPr="00A1084B">
        <w:rPr>
          <w:color w:val="000000" w:themeColor="text1"/>
          <w:lang w:val="en-US"/>
        </w:rPr>
        <w:t xml:space="preserve">If Hep-2 IIF results are considered strict binominal/ordinal data, the focus lies on determining </w:t>
      </w:r>
      <w:r w:rsidRPr="00A1084B">
        <w:rPr>
          <w:i/>
          <w:color w:val="000000" w:themeColor="text1"/>
          <w:lang w:val="en-US"/>
        </w:rPr>
        <w:t>how often</w:t>
      </w:r>
      <w:r w:rsidRPr="00A1084B">
        <w:rPr>
          <w:color w:val="000000" w:themeColor="text1"/>
          <w:lang w:val="en-US"/>
        </w:rPr>
        <w:t xml:space="preserve"> results differ from the target rather than </w:t>
      </w:r>
      <w:r w:rsidRPr="00A1084B">
        <w:rPr>
          <w:i/>
          <w:color w:val="000000" w:themeColor="text1"/>
          <w:lang w:val="en-US"/>
        </w:rPr>
        <w:t>how much</w:t>
      </w:r>
      <w:r>
        <w:rPr>
          <w:i/>
          <w:color w:val="000000" w:themeColor="text1"/>
          <w:lang w:val="en-US"/>
        </w:rPr>
        <w:t xml:space="preserve"> </w:t>
      </w:r>
      <w:r w:rsidRPr="00674396">
        <w:rPr>
          <w:color w:val="000000" w:themeColor="text1"/>
          <w:lang w:val="en-US"/>
        </w:rPr>
        <w:t>the results differ from the target</w:t>
      </w:r>
      <w:r w:rsidRPr="00A1084B">
        <w:rPr>
          <w:color w:val="000000" w:themeColor="text1"/>
          <w:lang w:val="en-US"/>
        </w:rPr>
        <w:t xml:space="preserve">. </w:t>
      </w:r>
    </w:p>
    <w:p w:rsidR="003D11BA" w:rsidRPr="00A1084B" w:rsidRDefault="003D11BA" w:rsidP="00212E31">
      <w:pPr>
        <w:autoSpaceDE w:val="0"/>
        <w:autoSpaceDN w:val="0"/>
        <w:adjustRightInd w:val="0"/>
        <w:spacing w:after="0" w:line="240" w:lineRule="auto"/>
        <w:jc w:val="both"/>
        <w:rPr>
          <w:color w:val="000000" w:themeColor="text1"/>
          <w:lang w:val="en-CA"/>
        </w:rPr>
      </w:pPr>
      <w:r>
        <w:rPr>
          <w:color w:val="000000" w:themeColor="text1"/>
          <w:lang w:val="en-US"/>
        </w:rPr>
        <w:t>F</w:t>
      </w:r>
      <w:r w:rsidRPr="00A1084B">
        <w:rPr>
          <w:color w:val="000000" w:themeColor="text1"/>
          <w:lang w:val="en-US"/>
        </w:rPr>
        <w:t>or qualitative tests</w:t>
      </w:r>
      <w:r>
        <w:rPr>
          <w:color w:val="000000" w:themeColor="text1"/>
          <w:lang w:val="en-US"/>
        </w:rPr>
        <w:t>, t</w:t>
      </w:r>
      <w:r w:rsidRPr="00A1084B">
        <w:rPr>
          <w:color w:val="000000" w:themeColor="text1"/>
          <w:lang w:val="en-US"/>
        </w:rPr>
        <w:t>he recent EASI guideline propose</w:t>
      </w:r>
      <w:r>
        <w:rPr>
          <w:color w:val="000000" w:themeColor="text1"/>
          <w:lang w:val="en-US"/>
        </w:rPr>
        <w:t>s</w:t>
      </w:r>
      <w:r w:rsidRPr="00A1084B">
        <w:rPr>
          <w:color w:val="000000" w:themeColor="text1"/>
          <w:lang w:val="en-US"/>
        </w:rPr>
        <w:t xml:space="preserve"> analysis </w:t>
      </w:r>
      <w:r w:rsidRPr="00A1084B">
        <w:rPr>
          <w:i/>
          <w:color w:val="000000" w:themeColor="text1"/>
          <w:lang w:val="en-US"/>
        </w:rPr>
        <w:t xml:space="preserve">of 10 replicates of positive and 10 replicates of negative samples in a couple of consecutive days </w:t>
      </w:r>
      <w:r w:rsidRPr="00A1084B">
        <w:rPr>
          <w:color w:val="000000" w:themeColor="text1"/>
          <w:lang w:val="en-US"/>
        </w:rPr>
        <w:t>in order to establish consistency of results</w:t>
      </w:r>
      <w:r>
        <w:rPr>
          <w:color w:val="000000" w:themeColor="text1"/>
          <w:lang w:val="en-US"/>
        </w:rPr>
        <w:t xml:space="preserve"> </w:t>
      </w:r>
      <w:r>
        <w:rPr>
          <w:noProof/>
          <w:color w:val="000000" w:themeColor="text1"/>
          <w:lang w:val="en-US"/>
        </w:rPr>
        <w:t>(116)</w:t>
      </w:r>
      <w:r w:rsidRPr="00A1084B">
        <w:rPr>
          <w:color w:val="000000" w:themeColor="text1"/>
          <w:lang w:val="en-US"/>
        </w:rPr>
        <w:t>. Of note, the classic</w:t>
      </w:r>
      <w:r>
        <w:rPr>
          <w:color w:val="000000" w:themeColor="text1"/>
          <w:lang w:val="en-US"/>
        </w:rPr>
        <w:t>ally</w:t>
      </w:r>
      <w:r w:rsidRPr="00A1084B">
        <w:rPr>
          <w:color w:val="000000" w:themeColor="text1"/>
          <w:lang w:val="en-US"/>
        </w:rPr>
        <w:t xml:space="preserve"> recommended target value and maximum acceptable variability for HEp-2 IIF is the initial pattern and a 1 titer step difference </w:t>
      </w:r>
      <w:r>
        <w:rPr>
          <w:noProof/>
          <w:color w:val="000000" w:themeColor="text1"/>
          <w:lang w:val="en-US"/>
        </w:rPr>
        <w:t>(41, 114, 116)</w:t>
      </w:r>
      <w:r>
        <w:rPr>
          <w:color w:val="000000" w:themeColor="text1"/>
          <w:lang w:val="en-US"/>
        </w:rPr>
        <w:t>.</w:t>
      </w:r>
      <w:r w:rsidRPr="00A1084B">
        <w:rPr>
          <w:color w:val="000000" w:themeColor="text1"/>
          <w:lang w:val="en-US"/>
        </w:rPr>
        <w:t xml:space="preserve"> </w:t>
      </w:r>
    </w:p>
    <w:p w:rsidR="003D11BA" w:rsidRDefault="003D11BA" w:rsidP="00212E31">
      <w:pPr>
        <w:autoSpaceDE w:val="0"/>
        <w:autoSpaceDN w:val="0"/>
        <w:adjustRightInd w:val="0"/>
        <w:spacing w:after="0" w:line="240" w:lineRule="auto"/>
        <w:jc w:val="both"/>
        <w:rPr>
          <w:color w:val="000000" w:themeColor="text1"/>
          <w:lang w:val="en-CA"/>
        </w:rPr>
      </w:pPr>
      <w:r>
        <w:rPr>
          <w:color w:val="000000" w:themeColor="text1"/>
          <w:lang w:val="en-US"/>
        </w:rPr>
        <w:t>W</w:t>
      </w:r>
      <w:r w:rsidRPr="00A1084B">
        <w:rPr>
          <w:color w:val="000000" w:themeColor="text1"/>
          <w:lang w:val="en-US"/>
        </w:rPr>
        <w:t xml:space="preserve">hen using a CAD system, HEp-2 IIF results may be considered qualitative and semi-quantitative results derived from a quantitative value, the system-specific FI measure. In that case, precision can be verified using approaches applied to quantitative assays </w:t>
      </w:r>
      <w:r>
        <w:rPr>
          <w:noProof/>
          <w:color w:val="000000" w:themeColor="text1"/>
          <w:lang w:val="en-US"/>
        </w:rPr>
        <w:t>(138)</w:t>
      </w:r>
      <w:r w:rsidRPr="00A1084B">
        <w:rPr>
          <w:color w:val="000000" w:themeColor="text1"/>
          <w:lang w:val="en-US"/>
        </w:rPr>
        <w:t xml:space="preserve">. However, as reproducibility specifications of most system-specific FI measures are missing (manufacturers’ do not specify imprecision claims), validation is required. Of note, published data on reproducibility of the FI measures were generated on 6 to 20 replicates </w:t>
      </w:r>
      <w:r>
        <w:rPr>
          <w:noProof/>
          <w:color w:val="000000" w:themeColor="text1"/>
          <w:lang w:val="en-US"/>
        </w:rPr>
        <w:t>(93, 94, 103, 108, 112)</w:t>
      </w:r>
      <w:r w:rsidRPr="00A1084B">
        <w:rPr>
          <w:color w:val="000000" w:themeColor="text1"/>
          <w:lang w:val="en-US"/>
        </w:rPr>
        <w:t xml:space="preserve">. According to CLSI </w:t>
      </w:r>
      <w:r w:rsidRPr="00A1084B">
        <w:rPr>
          <w:color w:val="000000" w:themeColor="text1"/>
          <w:lang w:val="en-CA"/>
        </w:rPr>
        <w:t>EP05A3 precision can be established on duplo measurements obtained in 2 runs/day over a 20 days period</w:t>
      </w:r>
      <w:r>
        <w:rPr>
          <w:noProof/>
          <w:color w:val="000000" w:themeColor="text1"/>
          <w:lang w:val="en-CA"/>
        </w:rPr>
        <w:t>(144)</w:t>
      </w:r>
      <w:r w:rsidRPr="00A1084B">
        <w:rPr>
          <w:color w:val="000000" w:themeColor="text1"/>
          <w:lang w:val="en-CA"/>
        </w:rPr>
        <w:t xml:space="preserve">. </w:t>
      </w:r>
    </w:p>
    <w:p w:rsidR="003D11BA" w:rsidRDefault="003D11BA" w:rsidP="00212E31">
      <w:pPr>
        <w:spacing w:line="240" w:lineRule="auto"/>
        <w:jc w:val="both"/>
        <w:rPr>
          <w:rFonts w:cstheme="minorHAnsi"/>
          <w:lang w:val="en-US"/>
        </w:rPr>
      </w:pPr>
      <w:r w:rsidRPr="007673FF">
        <w:rPr>
          <w:color w:val="FF0000"/>
          <w:sz w:val="16"/>
          <w:szCs w:val="16"/>
          <w:lang w:val="en-CA"/>
        </w:rPr>
        <w:t xml:space="preserve">                                                                                                                                                                                                                                                                                                                                                                                                                                                                                                                                                                                                                                                                                                                                                                                                                                                                                                                                                                                                                                                                                                                                                                                                                                                                                                                                                                                                                                                                                                                                                                                                                                                                                                                                                                                                                                                                                                                                                                                                                                                                                                                                                                                                                                                                                                                                                                                                                                                                                                                                                                                                                                                                                                                                                                                                                                                                                                                                                                                                                                                                                                                                                                                                                                                                                                                                                                                                                                                                                                                                                                                                                                                                                                                                </w:t>
      </w:r>
    </w:p>
    <w:p w:rsidR="003D11BA" w:rsidRPr="004E1515"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cstheme="minorHAnsi"/>
          <w:lang w:val="en-US"/>
        </w:rPr>
      </w:pPr>
      <w:r w:rsidRPr="00CB62CB">
        <w:rPr>
          <w:rFonts w:cstheme="minorHAnsi"/>
          <w:lang w:val="en-US"/>
        </w:rPr>
        <w:t xml:space="preserve">Each laboratory should </w:t>
      </w:r>
      <w:r>
        <w:rPr>
          <w:rFonts w:cstheme="minorHAnsi"/>
          <w:lang w:val="en-US"/>
        </w:rPr>
        <w:t xml:space="preserve">verify the precision of the method used.  The approach will depend on </w:t>
      </w:r>
      <w:r w:rsidRPr="00A1084B">
        <w:rPr>
          <w:color w:val="000000" w:themeColor="text1"/>
          <w:lang w:val="en-US"/>
        </w:rPr>
        <w:t xml:space="preserve">how the data are </w:t>
      </w:r>
      <w:r>
        <w:rPr>
          <w:color w:val="000000" w:themeColor="text1"/>
          <w:lang w:val="en-US"/>
        </w:rPr>
        <w:t>handled:</w:t>
      </w:r>
      <w:r w:rsidRPr="00A1084B">
        <w:rPr>
          <w:color w:val="000000" w:themeColor="text1"/>
          <w:lang w:val="en-US"/>
        </w:rPr>
        <w:t xml:space="preserve"> binomial (positive/negative),  ordinal (titers) or continuous (FI results).</w:t>
      </w:r>
      <w:r>
        <w:rPr>
          <w:rFonts w:cstheme="minorHAnsi"/>
          <w:lang w:val="en-US"/>
        </w:rPr>
        <w:t xml:space="preserve"> </w:t>
      </w:r>
    </w:p>
    <w:p w:rsidR="003D11BA" w:rsidRPr="00AF190F" w:rsidRDefault="003D11BA" w:rsidP="00212E31">
      <w:pPr>
        <w:spacing w:line="240" w:lineRule="auto"/>
        <w:jc w:val="both"/>
        <w:rPr>
          <w:lang w:val="en-CA"/>
        </w:rPr>
      </w:pPr>
    </w:p>
    <w:p w:rsidR="003D11BA" w:rsidRPr="0005570C" w:rsidRDefault="003D11BA" w:rsidP="00212E31">
      <w:pPr>
        <w:spacing w:line="240" w:lineRule="auto"/>
        <w:jc w:val="both"/>
        <w:rPr>
          <w:rFonts w:cstheme="minorHAnsi"/>
          <w:i/>
          <w:lang w:val="en-CA"/>
        </w:rPr>
      </w:pPr>
      <w:r w:rsidRPr="0005570C">
        <w:rPr>
          <w:rFonts w:cstheme="minorHAnsi"/>
          <w:i/>
          <w:lang w:val="en-CA"/>
        </w:rPr>
        <w:t>Verification/validation of end point titer estimation by CAD</w:t>
      </w:r>
    </w:p>
    <w:p w:rsidR="003D11BA" w:rsidRPr="004845D4" w:rsidRDefault="003D11BA" w:rsidP="00212E31">
      <w:pPr>
        <w:spacing w:line="240" w:lineRule="auto"/>
        <w:jc w:val="both"/>
        <w:rPr>
          <w:i/>
          <w:sz w:val="16"/>
          <w:szCs w:val="16"/>
          <w:lang w:val="en-US"/>
        </w:rPr>
      </w:pPr>
      <w:r w:rsidRPr="00375D4C">
        <w:rPr>
          <w:lang w:val="en-US"/>
        </w:rPr>
        <w:t xml:space="preserve">If the laboratory intends to report endpoint titers based on the </w:t>
      </w:r>
      <w:r w:rsidRPr="00E1489C">
        <w:rPr>
          <w:lang w:val="en-US"/>
        </w:rPr>
        <w:t xml:space="preserve">CAD </w:t>
      </w:r>
      <w:r w:rsidRPr="00375D4C">
        <w:rPr>
          <w:lang w:val="en-US"/>
        </w:rPr>
        <w:t xml:space="preserve">system specific FI measure (either on a single well or on a dilution series), a correlation between </w:t>
      </w:r>
      <w:r>
        <w:rPr>
          <w:lang w:val="en-US"/>
        </w:rPr>
        <w:t xml:space="preserve">single well titer, end point titer and titer obtained with conventional microscope </w:t>
      </w:r>
      <w:r w:rsidRPr="00375D4C">
        <w:rPr>
          <w:lang w:val="en-US"/>
        </w:rPr>
        <w:t xml:space="preserve">should be documented. A correlation between system-specific FI-measures and titers </w:t>
      </w:r>
      <w:r w:rsidRPr="00E1489C">
        <w:rPr>
          <w:lang w:val="en-US"/>
        </w:rPr>
        <w:t xml:space="preserve">has been </w:t>
      </w:r>
      <w:r w:rsidRPr="00375D4C">
        <w:rPr>
          <w:lang w:val="en-US"/>
        </w:rPr>
        <w:t xml:space="preserve">documented for several ANA IIFA CAD systems </w:t>
      </w:r>
      <w:r>
        <w:rPr>
          <w:noProof/>
          <w:lang w:val="en-US"/>
        </w:rPr>
        <w:t>(91-94, 100, 103, 105, 110)</w:t>
      </w:r>
      <w:r w:rsidRPr="00375D4C">
        <w:rPr>
          <w:lang w:val="en-US"/>
        </w:rPr>
        <w:t xml:space="preserve">. </w:t>
      </w:r>
      <w:r w:rsidRPr="00E1489C">
        <w:rPr>
          <w:lang w:val="en-US"/>
        </w:rPr>
        <w:t xml:space="preserve">Differences between the end point titer and the estimated titer based on the fluorescence intensity measured at a single dilution </w:t>
      </w:r>
      <w:r>
        <w:rPr>
          <w:lang w:val="en-US"/>
        </w:rPr>
        <w:t xml:space="preserve">(single well titer) </w:t>
      </w:r>
      <w:r w:rsidRPr="00E1489C">
        <w:rPr>
          <w:lang w:val="en-US"/>
        </w:rPr>
        <w:t>by CAD systems have been shown.  For example, a Belgian multicenter study performed on the NovaVIEW CAD system revealed an acceptable overestimation of 1 titer difference in 36% of samples, but a difference of ≥2 titer steps in 16.5% of samples with a centromere or nucleolar pattern</w:t>
      </w:r>
      <w:r>
        <w:rPr>
          <w:lang w:val="en-US"/>
        </w:rPr>
        <w:t xml:space="preserve"> </w:t>
      </w:r>
      <w:r>
        <w:rPr>
          <w:noProof/>
          <w:lang w:val="en-US"/>
        </w:rPr>
        <w:t>(108)</w:t>
      </w:r>
      <w:r w:rsidRPr="00E1489C">
        <w:rPr>
          <w:lang w:val="en-US"/>
        </w:rPr>
        <w:t xml:space="preserve">. </w:t>
      </w:r>
    </w:p>
    <w:p w:rsidR="003D11BA" w:rsidRPr="004E1515"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cstheme="minorHAnsi"/>
          <w:lang w:val="en-US"/>
        </w:rPr>
      </w:pPr>
      <w:r>
        <w:rPr>
          <w:rFonts w:cstheme="minorHAnsi"/>
          <w:lang w:val="en-US"/>
        </w:rPr>
        <w:t xml:space="preserve">Application of single well titer by CAD should be verified/validated by pattern-specific comparison to end point titer.   </w:t>
      </w:r>
    </w:p>
    <w:p w:rsidR="003D11BA" w:rsidRDefault="003D11BA" w:rsidP="00212E31">
      <w:pPr>
        <w:spacing w:line="240" w:lineRule="auto"/>
        <w:jc w:val="both"/>
        <w:rPr>
          <w:lang w:val="en-US"/>
        </w:rPr>
      </w:pPr>
    </w:p>
    <w:p w:rsidR="003D11BA" w:rsidRPr="0005570C" w:rsidRDefault="003D11BA" w:rsidP="00212E31">
      <w:pPr>
        <w:spacing w:line="240" w:lineRule="auto"/>
        <w:jc w:val="both"/>
        <w:rPr>
          <w:rFonts w:cstheme="minorHAnsi"/>
          <w:i/>
          <w:lang w:val="en-CA"/>
        </w:rPr>
      </w:pPr>
      <w:r w:rsidRPr="0005570C">
        <w:rPr>
          <w:rFonts w:cstheme="minorHAnsi"/>
          <w:i/>
          <w:lang w:val="en-CA"/>
        </w:rPr>
        <w:t>Verification of pipetting device</w:t>
      </w:r>
    </w:p>
    <w:p w:rsidR="003D11BA" w:rsidRDefault="003D11BA" w:rsidP="00212E31">
      <w:pPr>
        <w:spacing w:line="240" w:lineRule="auto"/>
        <w:jc w:val="both"/>
        <w:rPr>
          <w:lang w:val="en-US"/>
        </w:rPr>
      </w:pPr>
      <w:r w:rsidRPr="00375D4C" w:rsidDel="009556FD">
        <w:rPr>
          <w:lang w:val="en-US"/>
        </w:rPr>
        <w:t xml:space="preserve">Although the performance of the pipetting apparatus </w:t>
      </w:r>
      <w:r>
        <w:rPr>
          <w:lang w:val="en-US"/>
        </w:rPr>
        <w:t xml:space="preserve">may be considered </w:t>
      </w:r>
      <w:r w:rsidRPr="00375D4C" w:rsidDel="009556FD">
        <w:rPr>
          <w:lang w:val="en-US"/>
        </w:rPr>
        <w:t>the responsibility of the manufacturer</w:t>
      </w:r>
      <w:r w:rsidRPr="00375D4C">
        <w:rPr>
          <w:lang w:val="en-US"/>
        </w:rPr>
        <w:t>,</w:t>
      </w:r>
      <w:r>
        <w:rPr>
          <w:lang w:val="en-US"/>
        </w:rPr>
        <w:t xml:space="preserve"> it can also be regarded as a local variable that should be verified (NVKC).</w:t>
      </w:r>
      <w:r w:rsidRPr="00375D4C" w:rsidDel="009556FD">
        <w:rPr>
          <w:lang w:val="en-US"/>
        </w:rPr>
        <w:t xml:space="preserve"> </w:t>
      </w:r>
      <w:r>
        <w:rPr>
          <w:lang w:val="en-CA"/>
        </w:rPr>
        <w:t>M</w:t>
      </w:r>
      <w:r w:rsidRPr="00E1489C">
        <w:rPr>
          <w:lang w:val="en-CA"/>
        </w:rPr>
        <w:t xml:space="preserve">alfunction of automatic pipetting apparatus can contribute to analytical variability, such as fluctuations in fluorescence intensity </w:t>
      </w:r>
      <w:r>
        <w:rPr>
          <w:noProof/>
          <w:lang w:val="en-CA"/>
        </w:rPr>
        <w:t>(113, 114)</w:t>
      </w:r>
      <w:r w:rsidRPr="00E1489C">
        <w:rPr>
          <w:lang w:val="en-CA"/>
        </w:rPr>
        <w:t xml:space="preserve"> or carry-over causing a change in ANA patterns in different dilutions of the same serum (personal experience M</w:t>
      </w:r>
      <w:r>
        <w:rPr>
          <w:lang w:val="en-CA"/>
        </w:rPr>
        <w:t>.</w:t>
      </w:r>
      <w:r w:rsidRPr="00E1489C">
        <w:rPr>
          <w:lang w:val="en-CA"/>
        </w:rPr>
        <w:t xml:space="preserve"> Vercammen</w:t>
      </w:r>
      <w:r>
        <w:rPr>
          <w:lang w:val="en-CA"/>
        </w:rPr>
        <w:t xml:space="preserve">). </w:t>
      </w:r>
      <w:r w:rsidRPr="00375D4C" w:rsidDel="009556FD">
        <w:rPr>
          <w:lang w:val="en-US"/>
        </w:rPr>
        <w:t xml:space="preserve">This can be done by repeatability/reproducibility tests and </w:t>
      </w:r>
      <w:r>
        <w:rPr>
          <w:lang w:val="en-US"/>
        </w:rPr>
        <w:t xml:space="preserve">by </w:t>
      </w:r>
      <w:r w:rsidRPr="00375D4C" w:rsidDel="009556FD">
        <w:rPr>
          <w:lang w:val="en-US"/>
        </w:rPr>
        <w:t>carry-over protocols</w:t>
      </w:r>
      <w:r>
        <w:rPr>
          <w:lang w:val="en-US"/>
        </w:rPr>
        <w:t xml:space="preserve">. </w:t>
      </w:r>
    </w:p>
    <w:p w:rsidR="003D11BA" w:rsidRDefault="003D11BA" w:rsidP="00212E31">
      <w:pPr>
        <w:spacing w:line="240" w:lineRule="auto"/>
        <w:jc w:val="both"/>
        <w:rPr>
          <w:lang w:val="en-US"/>
        </w:rPr>
      </w:pPr>
    </w:p>
    <w:p w:rsidR="003D11BA" w:rsidRPr="0005570C" w:rsidRDefault="003D11BA" w:rsidP="00212E31">
      <w:pPr>
        <w:spacing w:line="240" w:lineRule="auto"/>
        <w:jc w:val="both"/>
        <w:rPr>
          <w:rFonts w:cstheme="minorHAnsi"/>
          <w:i/>
          <w:lang w:val="en-US"/>
        </w:rPr>
      </w:pPr>
      <w:r w:rsidRPr="0005570C">
        <w:rPr>
          <w:rFonts w:cstheme="minorHAnsi"/>
          <w:i/>
          <w:lang w:val="en-US"/>
        </w:rPr>
        <w:t>Verification of linearity, measuring range, prozoning, interferences, conjugate titration</w:t>
      </w:r>
    </w:p>
    <w:p w:rsidR="003D11BA" w:rsidRPr="00E1489C" w:rsidRDefault="003D11BA" w:rsidP="00212E31">
      <w:pPr>
        <w:spacing w:line="240" w:lineRule="auto"/>
        <w:jc w:val="both"/>
        <w:rPr>
          <w:lang w:val="en-CA"/>
        </w:rPr>
      </w:pPr>
      <w:r w:rsidRPr="00DA2203">
        <w:rPr>
          <w:lang w:val="en-CA"/>
        </w:rPr>
        <w:t>According to EASI, e</w:t>
      </w:r>
      <w:r w:rsidRPr="00690E30">
        <w:rPr>
          <w:lang w:val="en-CA"/>
        </w:rPr>
        <w:t>valuating</w:t>
      </w:r>
      <w:r w:rsidRPr="00E1489C">
        <w:rPr>
          <w:lang w:val="en-CA"/>
        </w:rPr>
        <w:t xml:space="preserve"> linearity and measuring range, Hook-effect or prozoning, interferences and general handling issues like robustness or carry-over </w:t>
      </w:r>
      <w:r>
        <w:rPr>
          <w:lang w:val="en-CA"/>
        </w:rPr>
        <w:t>are</w:t>
      </w:r>
      <w:r w:rsidRPr="00E1489C">
        <w:rPr>
          <w:lang w:val="en-CA"/>
        </w:rPr>
        <w:t xml:space="preserve"> less relevant when applying CE-IVDs kits</w:t>
      </w:r>
      <w:r>
        <w:rPr>
          <w:lang w:val="en-CA"/>
        </w:rPr>
        <w:t xml:space="preserve"> </w:t>
      </w:r>
      <w:r>
        <w:rPr>
          <w:noProof/>
          <w:lang w:val="en-CA"/>
        </w:rPr>
        <w:t>(116)</w:t>
      </w:r>
      <w:r w:rsidRPr="00E1489C">
        <w:rPr>
          <w:lang w:val="en-CA"/>
        </w:rPr>
        <w:t xml:space="preserve">. </w:t>
      </w:r>
    </w:p>
    <w:p w:rsidR="003D11BA" w:rsidRPr="00DA2203" w:rsidRDefault="003D11BA" w:rsidP="00212E31">
      <w:pPr>
        <w:spacing w:line="240" w:lineRule="auto"/>
        <w:jc w:val="both"/>
        <w:rPr>
          <w:lang w:val="en-US"/>
        </w:rPr>
      </w:pPr>
      <w:r w:rsidRPr="00DA2203">
        <w:rPr>
          <w:lang w:val="en-US"/>
        </w:rPr>
        <w:lastRenderedPageBreak/>
        <w:t xml:space="preserve">CLSI I/A02-A2  and the Brazilian guidelines propose the titration of the conjugate, also when part of a reagent kit </w:t>
      </w:r>
      <w:r>
        <w:rPr>
          <w:noProof/>
          <w:lang w:val="en-US"/>
        </w:rPr>
        <w:t>(5, 41, 58, 117)</w:t>
      </w:r>
      <w:r>
        <w:rPr>
          <w:lang w:val="en-US"/>
        </w:rPr>
        <w:t>.</w:t>
      </w:r>
      <w:r w:rsidRPr="00DA2203">
        <w:rPr>
          <w:lang w:val="en-US"/>
        </w:rPr>
        <w:t xml:space="preserve"> In this case the kit will be used outside the manufacturer’s instructions and method validation instead of verification is required. We suggest to evaluate the kit using the manufacturer’s instructions. </w:t>
      </w:r>
    </w:p>
    <w:p w:rsidR="003D11BA" w:rsidRPr="001A3438" w:rsidRDefault="003D11BA" w:rsidP="00212E31">
      <w:pPr>
        <w:spacing w:line="240" w:lineRule="auto"/>
        <w:jc w:val="both"/>
        <w:rPr>
          <w:lang w:val="en-US"/>
        </w:rPr>
      </w:pPr>
    </w:p>
    <w:p w:rsidR="003D11BA" w:rsidRPr="00813E93" w:rsidRDefault="003D11BA" w:rsidP="00212E31">
      <w:pPr>
        <w:spacing w:line="240" w:lineRule="auto"/>
        <w:jc w:val="both"/>
        <w:rPr>
          <w:b/>
          <w:lang w:val="en-US"/>
        </w:rPr>
      </w:pPr>
      <w:r w:rsidRPr="00813E93">
        <w:rPr>
          <w:b/>
          <w:lang w:val="en-US"/>
        </w:rPr>
        <w:t>Clinical validation/verification of reference values</w:t>
      </w:r>
    </w:p>
    <w:p w:rsidR="003D11BA" w:rsidRPr="004845D4" w:rsidRDefault="003D11BA" w:rsidP="00212E31">
      <w:pPr>
        <w:jc w:val="both"/>
        <w:rPr>
          <w:color w:val="FF0000"/>
          <w:sz w:val="16"/>
          <w:szCs w:val="16"/>
          <w:lang w:val="en-US"/>
        </w:rPr>
      </w:pPr>
      <w:r w:rsidRPr="00581076">
        <w:rPr>
          <w:lang w:val="en-US"/>
        </w:rPr>
        <w:t>A</w:t>
      </w:r>
      <w:r w:rsidRPr="00581076">
        <w:rPr>
          <w:lang w:val="en-CA"/>
        </w:rPr>
        <w:t>cording to the ISO 15189, CE IVDR, CAP directives and the new 2017 IVD regulation the manufacturer is responsible for the clinical validation of a CE/FDA labelled test that is used by the  laboratory without modifications</w:t>
      </w:r>
      <w:r>
        <w:rPr>
          <w:lang w:val="en-CA"/>
        </w:rPr>
        <w:t xml:space="preserve"> </w:t>
      </w:r>
      <w:r>
        <w:rPr>
          <w:noProof/>
          <w:lang w:val="en-CA"/>
        </w:rPr>
        <w:t>(115, 127, 128, 130, 133)</w:t>
      </w:r>
      <w:r w:rsidRPr="00581076">
        <w:rPr>
          <w:lang w:val="en-CA"/>
        </w:rPr>
        <w:t xml:space="preserve">.  As proposed by EASI </w:t>
      </w:r>
      <w:r>
        <w:rPr>
          <w:noProof/>
          <w:lang w:val="en-CA"/>
        </w:rPr>
        <w:t>(116)</w:t>
      </w:r>
      <w:r>
        <w:rPr>
          <w:lang w:val="en-CA"/>
        </w:rPr>
        <w:t xml:space="preserve">, </w:t>
      </w:r>
      <w:r w:rsidRPr="00581076">
        <w:rPr>
          <w:lang w:val="en-CA"/>
        </w:rPr>
        <w:t xml:space="preserve">we </w:t>
      </w:r>
      <w:r>
        <w:rPr>
          <w:lang w:val="en-CA"/>
        </w:rPr>
        <w:t xml:space="preserve">insist </w:t>
      </w:r>
      <w:r w:rsidRPr="00581076">
        <w:rPr>
          <w:lang w:val="en-CA"/>
        </w:rPr>
        <w:t xml:space="preserve">that the information of the clinical validation should be shared with customers.  </w:t>
      </w:r>
    </w:p>
    <w:p w:rsidR="003D11BA" w:rsidRDefault="003D11BA" w:rsidP="00212E31">
      <w:pPr>
        <w:spacing w:line="240" w:lineRule="auto"/>
        <w:jc w:val="both"/>
        <w:rPr>
          <w:lang w:val="en-CA"/>
        </w:rPr>
      </w:pPr>
      <w:r w:rsidRPr="00581076">
        <w:rPr>
          <w:lang w:val="en-CA"/>
        </w:rPr>
        <w:t>However, national legislations can formulate additional requirements. In Belgium and France, for example, the  laboratory medicine specialist is responsible for clinical validation</w:t>
      </w:r>
      <w:r>
        <w:rPr>
          <w:lang w:val="en-CA"/>
        </w:rPr>
        <w:t>/verification</w:t>
      </w:r>
      <w:r w:rsidRPr="00581076">
        <w:rPr>
          <w:lang w:val="en-CA"/>
        </w:rPr>
        <w:t>, even when CE-IVD labelled tests</w:t>
      </w:r>
      <w:r>
        <w:rPr>
          <w:lang w:val="en-CA"/>
        </w:rPr>
        <w:t xml:space="preserve"> are used </w:t>
      </w:r>
      <w:r>
        <w:rPr>
          <w:noProof/>
          <w:lang w:val="en-CA"/>
        </w:rPr>
        <w:t>(120, 142)</w:t>
      </w:r>
      <w:r w:rsidRPr="00581076">
        <w:rPr>
          <w:lang w:val="en-CA"/>
        </w:rPr>
        <w:t xml:space="preserve">. He or she </w:t>
      </w:r>
      <w:r w:rsidRPr="00581076">
        <w:rPr>
          <w:lang w:val="en-US"/>
        </w:rPr>
        <w:t xml:space="preserve">decides which aspects need to be investigated and how this should be done. </w:t>
      </w:r>
      <w:r w:rsidRPr="00581076">
        <w:rPr>
          <w:lang w:val="en-CA"/>
        </w:rPr>
        <w:t xml:space="preserve">In </w:t>
      </w:r>
      <w:r>
        <w:rPr>
          <w:lang w:val="en-CA"/>
        </w:rPr>
        <w:t>T</w:t>
      </w:r>
      <w:r w:rsidRPr="00581076">
        <w:rPr>
          <w:lang w:val="en-CA"/>
        </w:rPr>
        <w:t>he Netherlands clinical validation is only required for newly established relations</w:t>
      </w:r>
      <w:r>
        <w:rPr>
          <w:lang w:val="en-CA"/>
        </w:rPr>
        <w:t xml:space="preserve"> </w:t>
      </w:r>
      <w:r w:rsidRPr="00581076">
        <w:rPr>
          <w:lang w:val="en-CA"/>
        </w:rPr>
        <w:t>which is mostly not the case</w:t>
      </w:r>
      <w:r>
        <w:rPr>
          <w:lang w:val="en-CA"/>
        </w:rPr>
        <w:t xml:space="preserve"> for</w:t>
      </w:r>
      <w:r w:rsidRPr="00581076">
        <w:rPr>
          <w:lang w:val="en-CA"/>
        </w:rPr>
        <w:t xml:space="preserve"> CE-IVD labelled tests</w:t>
      </w:r>
      <w:r>
        <w:rPr>
          <w:lang w:val="en-CA"/>
        </w:rPr>
        <w:t xml:space="preserve"> </w:t>
      </w:r>
      <w:r>
        <w:rPr>
          <w:noProof/>
          <w:lang w:val="en-CA"/>
        </w:rPr>
        <w:t>(134)</w:t>
      </w:r>
      <w:r w:rsidRPr="00581076">
        <w:rPr>
          <w:lang w:val="en-CA"/>
        </w:rPr>
        <w:t xml:space="preserve">. According </w:t>
      </w:r>
      <w:r>
        <w:rPr>
          <w:lang w:val="en-CA"/>
        </w:rPr>
        <w:t>CAP</w:t>
      </w:r>
      <w:r w:rsidRPr="00581076">
        <w:rPr>
          <w:lang w:val="en-CA"/>
        </w:rPr>
        <w:t>, laboratories are not obliged to make clinical claims</w:t>
      </w:r>
      <w:r>
        <w:rPr>
          <w:lang w:val="en-CA"/>
        </w:rPr>
        <w:t xml:space="preserve"> </w:t>
      </w:r>
      <w:r>
        <w:rPr>
          <w:noProof/>
          <w:lang w:val="en-CA"/>
        </w:rPr>
        <w:t>(128, 133)</w:t>
      </w:r>
      <w:r w:rsidRPr="00581076">
        <w:rPr>
          <w:lang w:val="en-CA"/>
        </w:rPr>
        <w:t>. But if they do, they can refer to the manufacturers’ data. ‘New’ clinical claims should be validated, but for rare conditions or well-accepted uses of a test</w:t>
      </w:r>
      <w:r>
        <w:rPr>
          <w:lang w:val="en-CA"/>
        </w:rPr>
        <w:t>, r</w:t>
      </w:r>
      <w:r w:rsidRPr="00581076">
        <w:rPr>
          <w:lang w:val="en-CA"/>
        </w:rPr>
        <w:t>eferring to peer-reviewed literature is acceptable</w:t>
      </w:r>
      <w:r>
        <w:rPr>
          <w:lang w:val="en-CA"/>
        </w:rPr>
        <w:t xml:space="preserve"> </w:t>
      </w:r>
      <w:r>
        <w:rPr>
          <w:noProof/>
          <w:lang w:val="en-CA"/>
        </w:rPr>
        <w:t>(128)</w:t>
      </w:r>
      <w:r>
        <w:rPr>
          <w:lang w:val="en-CA"/>
        </w:rPr>
        <w:t>.</w:t>
      </w:r>
    </w:p>
    <w:p w:rsidR="003D11BA" w:rsidRPr="00290EF9" w:rsidRDefault="003D11BA" w:rsidP="00212E31">
      <w:pPr>
        <w:spacing w:after="0" w:line="240" w:lineRule="auto"/>
        <w:ind w:left="284"/>
        <w:rPr>
          <w:color w:val="FF0000"/>
          <w:sz w:val="16"/>
          <w:szCs w:val="16"/>
          <w:lang w:val="en-CA"/>
        </w:rPr>
      </w:pPr>
    </w:p>
    <w:p w:rsidR="003D11BA" w:rsidRPr="00B46A66" w:rsidRDefault="003D11BA" w:rsidP="00212E31">
      <w:pPr>
        <w:spacing w:line="240" w:lineRule="auto"/>
        <w:jc w:val="both"/>
        <w:rPr>
          <w:rFonts w:cstheme="minorHAnsi"/>
          <w:b/>
          <w:lang w:val="en-US"/>
        </w:rPr>
      </w:pPr>
      <w:r w:rsidRPr="00B46A66">
        <w:rPr>
          <w:rFonts w:cstheme="minorHAnsi"/>
          <w:b/>
          <w:lang w:val="en-US"/>
        </w:rPr>
        <w:t>Clinical validation of a new HEp-2 IIF method</w:t>
      </w:r>
    </w:p>
    <w:p w:rsidR="003D11BA" w:rsidRPr="001A3438" w:rsidRDefault="003D11BA" w:rsidP="00212E31">
      <w:pPr>
        <w:autoSpaceDE w:val="0"/>
        <w:autoSpaceDN w:val="0"/>
        <w:adjustRightInd w:val="0"/>
        <w:spacing w:after="0" w:line="240" w:lineRule="auto"/>
        <w:jc w:val="both"/>
        <w:rPr>
          <w:lang w:val="en-US"/>
        </w:rPr>
      </w:pPr>
      <w:r w:rsidRPr="00DB70D9">
        <w:rPr>
          <w:lang w:val="en-CA"/>
        </w:rPr>
        <w:t>The CLSI I/LA02-A2 guideline for qua</w:t>
      </w:r>
      <w:r>
        <w:rPr>
          <w:lang w:val="en-CA"/>
        </w:rPr>
        <w:t xml:space="preserve">lity in ANA IIF advices </w:t>
      </w:r>
      <w:r w:rsidRPr="00DB70D9">
        <w:rPr>
          <w:lang w:val="en-CA"/>
        </w:rPr>
        <w:t>to verify clinical sensitivity and -specificity as well as reference values</w:t>
      </w:r>
      <w:r>
        <w:rPr>
          <w:lang w:val="en-CA"/>
        </w:rPr>
        <w:t xml:space="preserve"> </w:t>
      </w:r>
      <w:r>
        <w:rPr>
          <w:noProof/>
          <w:lang w:val="en-CA"/>
        </w:rPr>
        <w:t>(41)</w:t>
      </w:r>
      <w:r w:rsidRPr="00DB70D9">
        <w:rPr>
          <w:lang w:val="en-CA"/>
        </w:rPr>
        <w:t xml:space="preserve">. </w:t>
      </w:r>
      <w:r w:rsidRPr="00DB70D9">
        <w:rPr>
          <w:lang w:val="en-US"/>
        </w:rPr>
        <w:t xml:space="preserve">Clinical validation relies on analyzing clinically </w:t>
      </w:r>
      <w:r w:rsidRPr="001A3438">
        <w:rPr>
          <w:lang w:val="en-US"/>
        </w:rPr>
        <w:t>well-defined patients (e.g. fulfilling the classification cr</w:t>
      </w:r>
      <w:r>
        <w:rPr>
          <w:lang w:val="en-US"/>
        </w:rPr>
        <w:t xml:space="preserve">iteria) and controls. </w:t>
      </w:r>
      <w:r w:rsidRPr="001A3438">
        <w:rPr>
          <w:lang w:val="en-US"/>
        </w:rPr>
        <w:t xml:space="preserve">This classically involves determination of diagnostic sensitivity and specificity for the cutoff proposed by the manufacturer.  But, as we argued above, test result (titer, fluorescence intensity interval)-specific LRs should be established as this adds clinical value. This can be done in (multicenter) studies in which clinical laboratory immunologists, clinicians and manufacturers are involved.  In order to establish test result-specific likelihood ratios a large number of clinically well-characterized patients (ideally taken at the moment of diagnosis) and controls (ideally diseased controls) is needed.  For example, a recent study that established test result-specific LR for HEp-2 IIF and SPA included &gt;400 patients and &gt;700 controls </w:t>
      </w:r>
      <w:r>
        <w:rPr>
          <w:noProof/>
          <w:lang w:val="en-US"/>
        </w:rPr>
        <w:t>(38)</w:t>
      </w:r>
      <w:r w:rsidRPr="001A3438">
        <w:rPr>
          <w:lang w:val="en-US"/>
        </w:rPr>
        <w:t>. Assuming that the technical quality of the assay is well-validated and under control, it is likely that these diagnostic performance characteristics are less prone to local variability. Therefore, we argue that such studies should</w:t>
      </w:r>
      <w:r>
        <w:rPr>
          <w:lang w:val="en-US"/>
        </w:rPr>
        <w:t xml:space="preserve"> not/can</w:t>
      </w:r>
      <w:r w:rsidRPr="001A3438">
        <w:rPr>
          <w:lang w:val="en-US"/>
        </w:rPr>
        <w:t xml:space="preserve">not be done </w:t>
      </w:r>
      <w:r>
        <w:rPr>
          <w:lang w:val="en-US"/>
        </w:rPr>
        <w:t xml:space="preserve">by each individual laboratory. </w:t>
      </w:r>
      <w:r w:rsidRPr="001A3438">
        <w:rPr>
          <w:lang w:val="en-US"/>
        </w:rPr>
        <w:t xml:space="preserve">National initiatives for validation/verification such as the Dutch College of Medical Immunology (CMI) working group may reduce individual efforts made to introduce new tests in the laboratories </w:t>
      </w:r>
      <w:r>
        <w:rPr>
          <w:noProof/>
          <w:lang w:val="en-US"/>
        </w:rPr>
        <w:t>(141)</w:t>
      </w:r>
      <w:r w:rsidRPr="001A3438">
        <w:rPr>
          <w:lang w:val="en-US"/>
        </w:rPr>
        <w:t xml:space="preserve">. Multicenter validation studies with diagnostic samples is preferable to method comparison by individual laboratories using non–diagnostic samples </w:t>
      </w:r>
      <w:r>
        <w:rPr>
          <w:noProof/>
          <w:lang w:val="en-US"/>
        </w:rPr>
        <w:t>(141)</w:t>
      </w:r>
      <w:r>
        <w:rPr>
          <w:lang w:val="en-US"/>
        </w:rPr>
        <w:t>.</w:t>
      </w:r>
    </w:p>
    <w:p w:rsidR="003D11BA" w:rsidRDefault="003D11BA" w:rsidP="00212E31">
      <w:pPr>
        <w:spacing w:line="240" w:lineRule="auto"/>
        <w:jc w:val="both"/>
        <w:rPr>
          <w:lang w:val="en-CA"/>
        </w:rPr>
      </w:pPr>
    </w:p>
    <w:p w:rsidR="003D11BA" w:rsidRDefault="003D11BA" w:rsidP="00212E31">
      <w:pPr>
        <w:spacing w:line="240" w:lineRule="auto"/>
        <w:jc w:val="both"/>
        <w:rPr>
          <w:rFonts w:cstheme="minorHAnsi"/>
          <w:lang w:val="en-US"/>
        </w:rPr>
      </w:pPr>
    </w:p>
    <w:p w:rsidR="003D11BA" w:rsidRPr="004E1515" w:rsidRDefault="003D11BA" w:rsidP="00212E31">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jc w:val="both"/>
        <w:rPr>
          <w:rFonts w:cstheme="minorHAnsi"/>
          <w:lang w:val="en-US"/>
        </w:rPr>
      </w:pPr>
      <w:r w:rsidRPr="00581076">
        <w:rPr>
          <w:lang w:val="en-US"/>
        </w:rPr>
        <w:t>A</w:t>
      </w:r>
      <w:r w:rsidRPr="00581076">
        <w:rPr>
          <w:lang w:val="en-CA"/>
        </w:rPr>
        <w:t>cording to ISO 15189, CAP directives and the new 2017 IVD regulation</w:t>
      </w:r>
      <w:r>
        <w:rPr>
          <w:lang w:val="en-CA"/>
        </w:rPr>
        <w:t>,</w:t>
      </w:r>
      <w:r w:rsidRPr="00581076">
        <w:rPr>
          <w:lang w:val="en-CA"/>
        </w:rPr>
        <w:t xml:space="preserve"> the manufacturer is responsible for the clinical validation of a CE/FDA labelled test</w:t>
      </w:r>
      <w:r>
        <w:rPr>
          <w:lang w:val="en-CA"/>
        </w:rPr>
        <w:t xml:space="preserve">.  National legislation can formulate additional requirements.  Validation of a new Hep-2 IIF method is preferentially done in large multi-center studies including diagnostic samples of clinically characterized patients and controls. Such studies should allow to estimate test result specific LRs.  </w:t>
      </w:r>
      <w:r>
        <w:rPr>
          <w:rFonts w:cstheme="minorHAnsi"/>
          <w:lang w:val="en-US"/>
        </w:rPr>
        <w:t xml:space="preserve">   </w:t>
      </w:r>
    </w:p>
    <w:p w:rsidR="003D11BA" w:rsidRDefault="003D11BA" w:rsidP="00212E31">
      <w:pPr>
        <w:spacing w:line="240" w:lineRule="auto"/>
        <w:jc w:val="both"/>
        <w:rPr>
          <w:lang w:val="en-US"/>
        </w:rPr>
      </w:pPr>
    </w:p>
    <w:p w:rsidR="003D11BA" w:rsidRPr="000A1B6D" w:rsidRDefault="003D11BA" w:rsidP="00212E31">
      <w:pPr>
        <w:rPr>
          <w:b/>
          <w:smallCaps/>
          <w:lang w:val="en-US"/>
        </w:rPr>
      </w:pPr>
      <w:r w:rsidRPr="000A1B6D">
        <w:rPr>
          <w:b/>
          <w:smallCaps/>
          <w:lang w:val="en-US"/>
        </w:rPr>
        <w:lastRenderedPageBreak/>
        <w:t xml:space="preserve">ANA and IVDR </w:t>
      </w:r>
    </w:p>
    <w:p w:rsidR="003D11BA" w:rsidRPr="000A1B6D" w:rsidRDefault="003D11BA" w:rsidP="00212E31">
      <w:pPr>
        <w:jc w:val="both"/>
        <w:rPr>
          <w:lang w:val="en-US"/>
        </w:rPr>
      </w:pPr>
      <w:r w:rsidRPr="000A1B6D">
        <w:rPr>
          <w:lang w:val="en-US"/>
        </w:rPr>
        <w:t xml:space="preserve">In May 2017, the In-Vitro Diagnostic Medical Devices Regulation (EU) 2017/746 (IVDR) was published and </w:t>
      </w:r>
      <w:r>
        <w:rPr>
          <w:lang w:val="en-US"/>
        </w:rPr>
        <w:t>is planned to be</w:t>
      </w:r>
      <w:r w:rsidRPr="000A1B6D">
        <w:rPr>
          <w:lang w:val="en-US"/>
        </w:rPr>
        <w:t xml:space="preserve"> enforced in 2022</w:t>
      </w:r>
      <w:r>
        <w:rPr>
          <w:noProof/>
          <w:lang w:val="en-US"/>
        </w:rPr>
        <w:t>(130)</w:t>
      </w:r>
      <w:r w:rsidRPr="000A1B6D">
        <w:rPr>
          <w:lang w:val="en-US"/>
        </w:rPr>
        <w:t>. ANA testing devices are subject to these regulations and have to fulfill their requirements.  According to the 2017 IVDR, all devices are divided into classes A, B, C and D, from uncritical (A) to highly critical (D), taking into account the intended purpose of the devices and their inherent risks. As per the classification rules of the IVDR, ANA test devices fall into group B, which is the default class for all parameters which do not fall within the scope of any of the stated rules. This mainly because ANA devices do not test for transmissible agents.</w:t>
      </w:r>
    </w:p>
    <w:p w:rsidR="003D11BA" w:rsidRPr="000A1B6D" w:rsidRDefault="003D11BA" w:rsidP="00212E31">
      <w:pPr>
        <w:jc w:val="both"/>
        <w:rPr>
          <w:lang w:val="en-US"/>
        </w:rPr>
      </w:pPr>
      <w:r w:rsidRPr="000A1B6D">
        <w:rPr>
          <w:lang w:val="en-US"/>
        </w:rPr>
        <w:t>Second, clinical evidence for the performance within the intended purpose of the test has to be demonstrated and updated throughout the lifecycle of the test device. Such updating entails the planned monitoring of scientific developments and changes in medical practice by the manufacturer. Relevant new information should then trigger a reassessment of the clinical evidence of the device. A guideline for fulfilling these requirements can be found at MedTech Europe (https://www.medtecheurope.org/resource-library/clinical-evidence-requirements-for-ce-certification-under-the-in-vitro-diagnostic-regulation-in-the-european-union/). An important point is the use of harmonized standards. Devices that are in conformity with the relevant harmonized standards the references of which have been published in the Official Journal of the European Union, shall be presumed to be in conformity with the requirements. An example is EN 13612:2002 Performance evaluation of in vitro diagnostic medical devices (https://standards.iteh.ai/catalog/standards/cen/26676c14-f7c5-4f6c-b054-ffbd4199af54/en-13612-2002).</w:t>
      </w:r>
    </w:p>
    <w:p w:rsidR="003D11BA" w:rsidRDefault="003D11BA" w:rsidP="00212E31">
      <w:pPr>
        <w:rPr>
          <w:lang w:val="en-US"/>
        </w:rPr>
      </w:pPr>
      <w:r w:rsidRPr="000A1B6D">
        <w:rPr>
          <w:lang w:val="en-US"/>
        </w:rPr>
        <w:t>A critical issue in regard to clinical evidence demonstration of ANA tests would be the fact that such antibodies can occur years before the clinical manifestation of the disease</w:t>
      </w:r>
      <w:r>
        <w:rPr>
          <w:lang w:val="en-US"/>
        </w:rPr>
        <w:t xml:space="preserve"> </w:t>
      </w:r>
      <w:r>
        <w:rPr>
          <w:noProof/>
          <w:lang w:val="en-US"/>
        </w:rPr>
        <w:t>(145)</w:t>
      </w:r>
      <w:r w:rsidRPr="000A1B6D">
        <w:rPr>
          <w:lang w:val="en-US"/>
        </w:rPr>
        <w:t xml:space="preserve">. So the prognostic value in </w:t>
      </w:r>
      <w:r>
        <w:rPr>
          <w:lang w:val="en-US"/>
        </w:rPr>
        <w:t xml:space="preserve">the </w:t>
      </w:r>
      <w:r w:rsidRPr="000A1B6D">
        <w:rPr>
          <w:lang w:val="en-US"/>
        </w:rPr>
        <w:t>absence of clinical disease would have to be demonstrated</w:t>
      </w:r>
      <w:r>
        <w:rPr>
          <w:lang w:val="en-US"/>
        </w:rPr>
        <w:t>.</w:t>
      </w:r>
    </w:p>
    <w:p w:rsidR="003D11BA" w:rsidRPr="001B4EEE" w:rsidRDefault="003D11BA" w:rsidP="00212E31">
      <w:pPr>
        <w:rPr>
          <w:lang w:val="en-US"/>
        </w:rPr>
      </w:pPr>
    </w:p>
    <w:p w:rsidR="003D11BA" w:rsidRPr="00F04A20" w:rsidRDefault="003D11BA" w:rsidP="00212E31">
      <w:pPr>
        <w:spacing w:line="240" w:lineRule="auto"/>
        <w:jc w:val="both"/>
        <w:rPr>
          <w:b/>
          <w:smallCaps/>
          <w:color w:val="000000" w:themeColor="text1"/>
          <w:lang w:val="en-CA"/>
        </w:rPr>
      </w:pPr>
      <w:r>
        <w:rPr>
          <w:b/>
          <w:smallCaps/>
          <w:color w:val="000000" w:themeColor="text1"/>
          <w:lang w:val="en-CA"/>
        </w:rPr>
        <w:t>Recommendations / statements - Delphi scoring</w:t>
      </w:r>
    </w:p>
    <w:p w:rsidR="003D11BA" w:rsidRDefault="003D11BA" w:rsidP="00212E31">
      <w:pPr>
        <w:spacing w:line="240" w:lineRule="auto"/>
        <w:jc w:val="both"/>
        <w:rPr>
          <w:highlight w:val="yellow"/>
          <w:lang w:val="en-CA"/>
        </w:rPr>
      </w:pPr>
      <w:r w:rsidRPr="0038707B">
        <w:rPr>
          <w:lang w:val="en-CA"/>
        </w:rPr>
        <w:t xml:space="preserve">The final </w:t>
      </w:r>
      <w:r w:rsidRPr="0038707B">
        <w:rPr>
          <w:highlight w:val="cyan"/>
          <w:lang w:val="en-CA"/>
        </w:rPr>
        <w:t>..</w:t>
      </w:r>
      <w:r w:rsidRPr="0038707B">
        <w:rPr>
          <w:lang w:val="en-CA"/>
        </w:rPr>
        <w:t xml:space="preserve"> recommendations/statements that were formulated in this study are summarized in Table </w:t>
      </w:r>
      <w:r>
        <w:rPr>
          <w:lang w:val="en-CA"/>
        </w:rPr>
        <w:t xml:space="preserve">3 and 4 </w:t>
      </w:r>
      <w:r w:rsidRPr="0038707B">
        <w:rPr>
          <w:lang w:val="en-CA"/>
        </w:rPr>
        <w:t xml:space="preserve">and are divided into </w:t>
      </w:r>
      <w:r>
        <w:rPr>
          <w:lang w:val="en-CA"/>
        </w:rPr>
        <w:t>2 subgroups. The first subgroup of statements is</w:t>
      </w:r>
      <w:r w:rsidRPr="008047C9">
        <w:rPr>
          <w:lang w:val="en-CA"/>
        </w:rPr>
        <w:t xml:space="preserve"> dedicated to </w:t>
      </w:r>
      <w:r w:rsidRPr="006328BC">
        <w:rPr>
          <w:lang w:val="en-CA"/>
        </w:rPr>
        <w:t>different</w:t>
      </w:r>
      <w:r>
        <w:rPr>
          <w:lang w:val="en-CA"/>
        </w:rPr>
        <w:t xml:space="preserve"> </w:t>
      </w:r>
      <w:r w:rsidRPr="006328BC">
        <w:rPr>
          <w:lang w:val="en-CA"/>
        </w:rPr>
        <w:t xml:space="preserve">methodological aspects </w:t>
      </w:r>
      <w:r>
        <w:rPr>
          <w:lang w:val="en-CA"/>
        </w:rPr>
        <w:t>of ANA analysis mostly focussed on Hep-2 IIF.  The second subg</w:t>
      </w:r>
      <w:r w:rsidRPr="006328BC">
        <w:rPr>
          <w:lang w:val="en-CA"/>
        </w:rPr>
        <w:t xml:space="preserve">roup </w:t>
      </w:r>
      <w:r>
        <w:rPr>
          <w:lang w:val="en-CA"/>
        </w:rPr>
        <w:t xml:space="preserve">of </w:t>
      </w:r>
      <w:r w:rsidRPr="006328BC">
        <w:rPr>
          <w:lang w:val="en-CA"/>
        </w:rPr>
        <w:t xml:space="preserve">statements </w:t>
      </w:r>
      <w:r>
        <w:rPr>
          <w:lang w:val="en-CA"/>
        </w:rPr>
        <w:t>is</w:t>
      </w:r>
      <w:r w:rsidRPr="006328BC">
        <w:rPr>
          <w:lang w:val="en-CA"/>
        </w:rPr>
        <w:t xml:space="preserve"> focussed </w:t>
      </w:r>
      <w:r>
        <w:rPr>
          <w:lang w:val="en-CA"/>
        </w:rPr>
        <w:t xml:space="preserve">on </w:t>
      </w:r>
      <w:r w:rsidRPr="006328BC">
        <w:rPr>
          <w:lang w:val="en-CA"/>
        </w:rPr>
        <w:t xml:space="preserve">IIF validation/verification </w:t>
      </w:r>
      <w:r>
        <w:rPr>
          <w:lang w:val="en-CA"/>
        </w:rPr>
        <w:t>aspects and covers both analytical as well as clinical validation</w:t>
      </w:r>
      <w:r w:rsidRPr="006328BC">
        <w:rPr>
          <w:lang w:val="en-CA"/>
        </w:rPr>
        <w:t>.</w:t>
      </w:r>
      <w:r w:rsidRPr="008047C9">
        <w:rPr>
          <w:lang w:val="en-CA"/>
        </w:rPr>
        <w:t xml:space="preserve"> </w:t>
      </w:r>
      <w:r>
        <w:rPr>
          <w:lang w:val="en-CA"/>
        </w:rPr>
        <w:t>For each statement, the  Delphi score is added [</w:t>
      </w:r>
      <w:r w:rsidRPr="00BC1CDB">
        <w:rPr>
          <w:highlight w:val="yellow"/>
          <w:lang w:val="en-CA"/>
        </w:rPr>
        <w:t>to be organized</w:t>
      </w:r>
      <w:r>
        <w:rPr>
          <w:lang w:val="en-CA"/>
        </w:rPr>
        <w:t xml:space="preserve">].  </w:t>
      </w:r>
      <w:r w:rsidRPr="006927DA">
        <w:rPr>
          <w:highlight w:val="yellow"/>
          <w:lang w:val="en-CA"/>
        </w:rPr>
        <w:t>Discuss the Delph</w:t>
      </w:r>
      <w:r>
        <w:rPr>
          <w:highlight w:val="yellow"/>
          <w:lang w:val="en-CA"/>
        </w:rPr>
        <w:t>i</w:t>
      </w:r>
      <w:r w:rsidRPr="006927DA">
        <w:rPr>
          <w:highlight w:val="yellow"/>
          <w:lang w:val="en-CA"/>
        </w:rPr>
        <w:t xml:space="preserve"> scoring outcome…</w:t>
      </w:r>
      <w:r>
        <w:rPr>
          <w:highlight w:val="yellow"/>
          <w:lang w:val="en-CA"/>
        </w:rPr>
        <w:t>[to be done]</w:t>
      </w:r>
      <w:r w:rsidRPr="006927DA">
        <w:rPr>
          <w:highlight w:val="yellow"/>
          <w:lang w:val="en-CA"/>
        </w:rPr>
        <w:t>…</w:t>
      </w:r>
    </w:p>
    <w:p w:rsidR="003D11BA" w:rsidRDefault="003D11BA" w:rsidP="00212E31">
      <w:pPr>
        <w:spacing w:line="240" w:lineRule="auto"/>
        <w:rPr>
          <w:lang w:val="en-CA"/>
        </w:rPr>
        <w:sectPr w:rsidR="003D11BA" w:rsidSect="00212E31">
          <w:footerReference w:type="default" r:id="rId8"/>
          <w:pgSz w:w="11906" w:h="16838"/>
          <w:pgMar w:top="1417" w:right="1417" w:bottom="1417" w:left="1417" w:header="708" w:footer="708" w:gutter="0"/>
          <w:cols w:space="708"/>
          <w:docGrid w:linePitch="360"/>
        </w:sectPr>
      </w:pPr>
    </w:p>
    <w:p w:rsidR="003D11BA" w:rsidRPr="004B3A9B" w:rsidRDefault="003D11BA" w:rsidP="00212E31">
      <w:pPr>
        <w:rPr>
          <w:b/>
          <w:lang w:val="en-CA"/>
        </w:rPr>
      </w:pPr>
      <w:r>
        <w:rPr>
          <w:b/>
          <w:lang w:val="en-CA"/>
        </w:rPr>
        <w:lastRenderedPageBreak/>
        <w:t>Table 1.</w:t>
      </w:r>
      <w:r w:rsidRPr="001E2B0B">
        <w:rPr>
          <w:b/>
          <w:lang w:val="en-CA"/>
        </w:rPr>
        <w:t xml:space="preserve"> </w:t>
      </w:r>
      <w:r>
        <w:rPr>
          <w:b/>
          <w:lang w:val="en-CA"/>
        </w:rPr>
        <w:t>D</w:t>
      </w:r>
      <w:r w:rsidRPr="001E2B0B">
        <w:rPr>
          <w:b/>
          <w:lang w:val="en-CA"/>
        </w:rPr>
        <w:t>efinition of verification</w:t>
      </w:r>
      <w:r>
        <w:rPr>
          <w:b/>
          <w:lang w:val="en-CA"/>
        </w:rPr>
        <w:t>/validation according to CAP, ISO15189</w:t>
      </w:r>
      <w:r w:rsidRPr="001E2B0B">
        <w:rPr>
          <w:b/>
          <w:lang w:val="en-CA"/>
        </w:rPr>
        <w:t xml:space="preserve"> </w:t>
      </w:r>
      <w:r>
        <w:rPr>
          <w:b/>
          <w:lang w:val="en-CA"/>
        </w:rPr>
        <w:t>and national interpretations</w:t>
      </w:r>
    </w:p>
    <w:tbl>
      <w:tblPr>
        <w:tblStyle w:val="TableGrid"/>
        <w:tblW w:w="13916" w:type="dxa"/>
        <w:tblInd w:w="113" w:type="dxa"/>
        <w:tblLayout w:type="fixed"/>
        <w:tblLook w:val="04A0" w:firstRow="1" w:lastRow="0" w:firstColumn="1" w:lastColumn="0" w:noHBand="0" w:noVBand="1"/>
      </w:tblPr>
      <w:tblGrid>
        <w:gridCol w:w="1300"/>
        <w:gridCol w:w="7371"/>
        <w:gridCol w:w="5245"/>
      </w:tblGrid>
      <w:tr w:rsidR="003D11BA" w:rsidRPr="00CA415F" w:rsidTr="00212E31">
        <w:tc>
          <w:tcPr>
            <w:tcW w:w="1300" w:type="dxa"/>
          </w:tcPr>
          <w:p w:rsidR="003D11BA" w:rsidRPr="00F90646" w:rsidRDefault="003D11BA" w:rsidP="00212E31">
            <w:pPr>
              <w:rPr>
                <w:sz w:val="16"/>
                <w:szCs w:val="16"/>
                <w:lang w:val="en-CA"/>
              </w:rPr>
            </w:pPr>
          </w:p>
        </w:tc>
        <w:tc>
          <w:tcPr>
            <w:tcW w:w="7371" w:type="dxa"/>
          </w:tcPr>
          <w:p w:rsidR="003D11BA" w:rsidRPr="00F90646" w:rsidRDefault="003D11BA" w:rsidP="00212E31">
            <w:pPr>
              <w:rPr>
                <w:sz w:val="16"/>
                <w:szCs w:val="16"/>
                <w:lang w:val="en-CA"/>
              </w:rPr>
            </w:pPr>
          </w:p>
        </w:tc>
        <w:tc>
          <w:tcPr>
            <w:tcW w:w="5245" w:type="dxa"/>
          </w:tcPr>
          <w:p w:rsidR="003D11BA" w:rsidRPr="00F90646" w:rsidRDefault="003D11BA" w:rsidP="00212E31">
            <w:pPr>
              <w:rPr>
                <w:sz w:val="16"/>
                <w:szCs w:val="16"/>
                <w:lang w:val="en-CA"/>
              </w:rPr>
            </w:pPr>
          </w:p>
        </w:tc>
      </w:tr>
      <w:tr w:rsidR="003D11BA" w:rsidRPr="00F90646" w:rsidTr="00212E31">
        <w:tc>
          <w:tcPr>
            <w:tcW w:w="1300" w:type="dxa"/>
            <w:shd w:val="clear" w:color="auto" w:fill="D5DCE4" w:themeFill="text2" w:themeFillTint="33"/>
          </w:tcPr>
          <w:p w:rsidR="003D11BA" w:rsidRPr="00F90646" w:rsidRDefault="003D11BA" w:rsidP="00212E31">
            <w:pPr>
              <w:rPr>
                <w:sz w:val="16"/>
                <w:szCs w:val="16"/>
                <w:lang w:val="en-CA"/>
              </w:rPr>
            </w:pPr>
          </w:p>
        </w:tc>
        <w:tc>
          <w:tcPr>
            <w:tcW w:w="7371" w:type="dxa"/>
            <w:shd w:val="clear" w:color="auto" w:fill="D5DCE4" w:themeFill="text2" w:themeFillTint="33"/>
          </w:tcPr>
          <w:p w:rsidR="003D11BA" w:rsidRPr="00F90646" w:rsidRDefault="003D11BA" w:rsidP="00212E31">
            <w:pPr>
              <w:rPr>
                <w:b/>
                <w:sz w:val="16"/>
                <w:szCs w:val="16"/>
                <w:lang w:val="en-CA"/>
              </w:rPr>
            </w:pPr>
            <w:r w:rsidRPr="00F90646">
              <w:rPr>
                <w:b/>
                <w:sz w:val="16"/>
                <w:szCs w:val="16"/>
                <w:lang w:val="en-CA"/>
              </w:rPr>
              <w:t>Definition: verification vs validation</w:t>
            </w:r>
          </w:p>
        </w:tc>
        <w:tc>
          <w:tcPr>
            <w:tcW w:w="5245" w:type="dxa"/>
            <w:shd w:val="clear" w:color="auto" w:fill="D5DCE4" w:themeFill="text2" w:themeFillTint="33"/>
          </w:tcPr>
          <w:p w:rsidR="003D11BA" w:rsidRPr="00F90646" w:rsidRDefault="003D11BA" w:rsidP="00212E31">
            <w:pPr>
              <w:rPr>
                <w:b/>
                <w:sz w:val="16"/>
                <w:szCs w:val="16"/>
                <w:lang w:val="en-CA"/>
              </w:rPr>
            </w:pPr>
            <w:r>
              <w:rPr>
                <w:b/>
                <w:sz w:val="16"/>
                <w:szCs w:val="16"/>
                <w:lang w:val="en-CA"/>
              </w:rPr>
              <w:t>Applicable for</w:t>
            </w:r>
          </w:p>
        </w:tc>
      </w:tr>
      <w:tr w:rsidR="003D11BA" w:rsidRPr="00EA4342" w:rsidTr="00212E31">
        <w:trPr>
          <w:trHeight w:val="270"/>
        </w:trPr>
        <w:tc>
          <w:tcPr>
            <w:tcW w:w="1300" w:type="dxa"/>
            <w:vMerge w:val="restart"/>
          </w:tcPr>
          <w:p w:rsidR="003D11BA" w:rsidRDefault="003D11BA" w:rsidP="00212E31">
            <w:pPr>
              <w:rPr>
                <w:b/>
                <w:sz w:val="16"/>
                <w:szCs w:val="16"/>
                <w:lang w:val="en-CA"/>
              </w:rPr>
            </w:pPr>
            <w:r w:rsidRPr="007D0095">
              <w:rPr>
                <w:b/>
                <w:sz w:val="16"/>
                <w:szCs w:val="16"/>
                <w:lang w:val="en-CA"/>
              </w:rPr>
              <w:t xml:space="preserve">ISO 15189 </w:t>
            </w:r>
          </w:p>
          <w:p w:rsidR="003D11BA" w:rsidRPr="007D0095" w:rsidRDefault="003D11BA" w:rsidP="00212E31">
            <w:pPr>
              <w:rPr>
                <w:b/>
                <w:sz w:val="16"/>
                <w:szCs w:val="16"/>
                <w:lang w:val="en-CA"/>
              </w:rPr>
            </w:pPr>
            <w:r w:rsidRPr="007D0095">
              <w:rPr>
                <w:b/>
                <w:noProof/>
                <w:sz w:val="16"/>
                <w:szCs w:val="16"/>
                <w:lang w:val="en-CA"/>
              </w:rPr>
              <w:t>(115)</w:t>
            </w:r>
          </w:p>
        </w:tc>
        <w:tc>
          <w:tcPr>
            <w:tcW w:w="7371" w:type="dxa"/>
          </w:tcPr>
          <w:p w:rsidR="003D11BA" w:rsidRPr="00220FCF" w:rsidRDefault="003D11BA" w:rsidP="00212E31">
            <w:pPr>
              <w:rPr>
                <w:sz w:val="16"/>
                <w:szCs w:val="16"/>
                <w:lang w:val="en-CA"/>
              </w:rPr>
            </w:pPr>
            <w:r w:rsidRPr="00F90646">
              <w:rPr>
                <w:b/>
                <w:sz w:val="16"/>
                <w:szCs w:val="16"/>
                <w:lang w:val="en-CA"/>
              </w:rPr>
              <w:t xml:space="preserve">Verification: </w:t>
            </w:r>
            <w:r>
              <w:rPr>
                <w:sz w:val="16"/>
                <w:szCs w:val="16"/>
                <w:lang w:val="en-CA"/>
              </w:rPr>
              <w:t>c</w:t>
            </w:r>
            <w:r w:rsidRPr="00140D64">
              <w:rPr>
                <w:sz w:val="16"/>
                <w:szCs w:val="16"/>
                <w:lang w:val="en-CA"/>
              </w:rPr>
              <w:t>onfirmation via objective evidence that claimed performance charact</w:t>
            </w:r>
            <w:r>
              <w:rPr>
                <w:sz w:val="16"/>
                <w:szCs w:val="16"/>
                <w:lang w:val="en-CA"/>
              </w:rPr>
              <w:t xml:space="preserve">eristics have been accomplished. </w:t>
            </w:r>
            <w:r w:rsidRPr="00EA4342">
              <w:rPr>
                <w:sz w:val="16"/>
                <w:szCs w:val="16"/>
                <w:lang w:val="en-CA"/>
              </w:rPr>
              <w:t>The performance claims should b</w:t>
            </w:r>
            <w:r>
              <w:rPr>
                <w:sz w:val="16"/>
                <w:szCs w:val="16"/>
                <w:lang w:val="en-CA"/>
              </w:rPr>
              <w:t>e relevant for the intended use.</w:t>
            </w:r>
          </w:p>
        </w:tc>
        <w:tc>
          <w:tcPr>
            <w:tcW w:w="5245" w:type="dxa"/>
          </w:tcPr>
          <w:p w:rsidR="003D11BA" w:rsidRPr="00220FCF" w:rsidRDefault="003D11BA" w:rsidP="003D11BA">
            <w:pPr>
              <w:pStyle w:val="ListParagraph"/>
              <w:numPr>
                <w:ilvl w:val="0"/>
                <w:numId w:val="40"/>
              </w:numPr>
              <w:ind w:left="317" w:hanging="142"/>
              <w:rPr>
                <w:sz w:val="16"/>
                <w:szCs w:val="16"/>
                <w:lang w:val="en-CA"/>
              </w:rPr>
            </w:pPr>
            <w:r w:rsidRPr="00220FCF">
              <w:rPr>
                <w:sz w:val="16"/>
                <w:szCs w:val="16"/>
                <w:lang w:val="en-CA"/>
              </w:rPr>
              <w:t>‘</w:t>
            </w:r>
            <w:r>
              <w:rPr>
                <w:sz w:val="16"/>
                <w:szCs w:val="16"/>
                <w:lang w:val="en-CA"/>
              </w:rPr>
              <w:t>S</w:t>
            </w:r>
            <w:r w:rsidRPr="00220FCF">
              <w:rPr>
                <w:sz w:val="16"/>
                <w:szCs w:val="16"/>
                <w:lang w:val="en-CA"/>
              </w:rPr>
              <w:t xml:space="preserve">tandard </w:t>
            </w:r>
            <w:r>
              <w:rPr>
                <w:sz w:val="16"/>
                <w:szCs w:val="16"/>
                <w:lang w:val="en-CA"/>
              </w:rPr>
              <w:t>method</w:t>
            </w:r>
            <w:r w:rsidRPr="00220FCF">
              <w:rPr>
                <w:sz w:val="16"/>
                <w:szCs w:val="16"/>
                <w:lang w:val="en-CA"/>
              </w:rPr>
              <w:t>’</w:t>
            </w:r>
            <w:r>
              <w:rPr>
                <w:sz w:val="16"/>
                <w:szCs w:val="16"/>
                <w:lang w:val="en-CA"/>
              </w:rPr>
              <w:t>*</w:t>
            </w:r>
          </w:p>
        </w:tc>
      </w:tr>
      <w:tr w:rsidR="003D11BA" w:rsidRPr="00101719" w:rsidTr="00212E31">
        <w:tc>
          <w:tcPr>
            <w:tcW w:w="1300" w:type="dxa"/>
            <w:vMerge/>
          </w:tcPr>
          <w:p w:rsidR="003D11BA" w:rsidRPr="007D0095" w:rsidRDefault="003D11BA" w:rsidP="00212E31">
            <w:pPr>
              <w:rPr>
                <w:b/>
                <w:sz w:val="16"/>
                <w:szCs w:val="16"/>
                <w:lang w:val="en-CA"/>
              </w:rPr>
            </w:pPr>
          </w:p>
        </w:tc>
        <w:tc>
          <w:tcPr>
            <w:tcW w:w="7371" w:type="dxa"/>
          </w:tcPr>
          <w:p w:rsidR="003D11BA" w:rsidRDefault="003D11BA" w:rsidP="00212E31">
            <w:pPr>
              <w:rPr>
                <w:sz w:val="16"/>
                <w:szCs w:val="16"/>
                <w:lang w:val="en-CA"/>
              </w:rPr>
            </w:pPr>
            <w:r w:rsidRPr="00F90646">
              <w:rPr>
                <w:b/>
                <w:sz w:val="16"/>
                <w:szCs w:val="16"/>
                <w:lang w:val="en-CA"/>
              </w:rPr>
              <w:t>Validation</w:t>
            </w:r>
            <w:r w:rsidRPr="00F90646">
              <w:rPr>
                <w:sz w:val="16"/>
                <w:szCs w:val="16"/>
                <w:lang w:val="en-CA"/>
              </w:rPr>
              <w:t>: Establish objective evidence (by documenting performance characteristics) that the</w:t>
            </w:r>
            <w:r>
              <w:rPr>
                <w:sz w:val="16"/>
                <w:szCs w:val="16"/>
                <w:lang w:val="en-CA"/>
              </w:rPr>
              <w:t xml:space="preserve">  method/</w:t>
            </w:r>
            <w:r w:rsidRPr="00F90646">
              <w:rPr>
                <w:sz w:val="16"/>
                <w:szCs w:val="16"/>
                <w:lang w:val="en-CA"/>
              </w:rPr>
              <w:t xml:space="preserve"> ap</w:t>
            </w:r>
            <w:r>
              <w:rPr>
                <w:sz w:val="16"/>
                <w:szCs w:val="16"/>
                <w:lang w:val="en-CA"/>
              </w:rPr>
              <w:t>plication is adequate its intended use</w:t>
            </w:r>
          </w:p>
          <w:p w:rsidR="003D11BA" w:rsidRPr="00F90646" w:rsidRDefault="003D11BA" w:rsidP="00212E31">
            <w:pPr>
              <w:rPr>
                <w:b/>
                <w:sz w:val="16"/>
                <w:szCs w:val="16"/>
                <w:lang w:val="en-CA"/>
              </w:rPr>
            </w:pPr>
          </w:p>
        </w:tc>
        <w:tc>
          <w:tcPr>
            <w:tcW w:w="5245" w:type="dxa"/>
          </w:tcPr>
          <w:p w:rsidR="003D11BA" w:rsidRPr="00A764E3" w:rsidRDefault="003D11BA" w:rsidP="003D11BA">
            <w:pPr>
              <w:pStyle w:val="ListParagraph"/>
              <w:numPr>
                <w:ilvl w:val="0"/>
                <w:numId w:val="37"/>
              </w:numPr>
              <w:ind w:left="317" w:hanging="142"/>
              <w:rPr>
                <w:sz w:val="16"/>
                <w:szCs w:val="16"/>
                <w:lang w:val="en-CA"/>
              </w:rPr>
            </w:pPr>
            <w:r>
              <w:rPr>
                <w:sz w:val="16"/>
                <w:szCs w:val="16"/>
                <w:lang w:val="en-CA"/>
              </w:rPr>
              <w:t xml:space="preserve">In-house </w:t>
            </w:r>
            <w:r w:rsidRPr="00A764E3">
              <w:rPr>
                <w:sz w:val="16"/>
                <w:szCs w:val="16"/>
                <w:lang w:val="en-CA"/>
              </w:rPr>
              <w:t>method</w:t>
            </w:r>
          </w:p>
          <w:p w:rsidR="003D11BA" w:rsidRPr="00A764E3" w:rsidRDefault="003D11BA" w:rsidP="003D11BA">
            <w:pPr>
              <w:pStyle w:val="ListParagraph"/>
              <w:numPr>
                <w:ilvl w:val="0"/>
                <w:numId w:val="37"/>
              </w:numPr>
              <w:ind w:left="317" w:hanging="142"/>
              <w:rPr>
                <w:sz w:val="16"/>
                <w:szCs w:val="16"/>
                <w:lang w:val="en-CA"/>
              </w:rPr>
            </w:pPr>
            <w:r>
              <w:rPr>
                <w:sz w:val="16"/>
                <w:szCs w:val="16"/>
                <w:lang w:val="en-CA"/>
              </w:rPr>
              <w:t>N</w:t>
            </w:r>
            <w:r w:rsidRPr="00A764E3">
              <w:rPr>
                <w:sz w:val="16"/>
                <w:szCs w:val="16"/>
                <w:lang w:val="en-CA"/>
              </w:rPr>
              <w:t>on-standard method</w:t>
            </w:r>
          </w:p>
          <w:p w:rsidR="003D11BA" w:rsidRDefault="003D11BA" w:rsidP="003D11BA">
            <w:pPr>
              <w:pStyle w:val="ListParagraph"/>
              <w:numPr>
                <w:ilvl w:val="0"/>
                <w:numId w:val="37"/>
              </w:numPr>
              <w:ind w:left="317" w:hanging="142"/>
              <w:rPr>
                <w:sz w:val="16"/>
                <w:szCs w:val="16"/>
                <w:lang w:val="en-CA"/>
              </w:rPr>
            </w:pPr>
            <w:r>
              <w:rPr>
                <w:sz w:val="16"/>
                <w:szCs w:val="16"/>
                <w:lang w:val="en-CA"/>
              </w:rPr>
              <w:t>Validated</w:t>
            </w:r>
            <w:r w:rsidRPr="00A764E3">
              <w:rPr>
                <w:sz w:val="16"/>
                <w:szCs w:val="16"/>
                <w:lang w:val="en-CA"/>
              </w:rPr>
              <w:t xml:space="preserve"> method applied in an alternative application field</w:t>
            </w:r>
          </w:p>
          <w:p w:rsidR="003D11BA" w:rsidRPr="00A764E3" w:rsidRDefault="003D11BA" w:rsidP="003D11BA">
            <w:pPr>
              <w:pStyle w:val="ListParagraph"/>
              <w:numPr>
                <w:ilvl w:val="0"/>
                <w:numId w:val="37"/>
              </w:numPr>
              <w:ind w:left="317" w:hanging="142"/>
              <w:rPr>
                <w:sz w:val="16"/>
                <w:szCs w:val="16"/>
                <w:lang w:val="en-CA"/>
              </w:rPr>
            </w:pPr>
            <w:r>
              <w:rPr>
                <w:sz w:val="16"/>
                <w:szCs w:val="16"/>
                <w:lang w:val="en-CA"/>
              </w:rPr>
              <w:t>A</w:t>
            </w:r>
            <w:r w:rsidRPr="00A764E3">
              <w:rPr>
                <w:sz w:val="16"/>
                <w:szCs w:val="16"/>
                <w:lang w:val="en-CA"/>
              </w:rPr>
              <w:t>daptation of validated method</w:t>
            </w:r>
          </w:p>
        </w:tc>
      </w:tr>
      <w:tr w:rsidR="003D11BA" w:rsidRPr="00101719" w:rsidTr="00212E31">
        <w:trPr>
          <w:trHeight w:val="1177"/>
        </w:trPr>
        <w:tc>
          <w:tcPr>
            <w:tcW w:w="1300" w:type="dxa"/>
            <w:vMerge w:val="restart"/>
          </w:tcPr>
          <w:p w:rsidR="003D11BA" w:rsidRDefault="003D11BA" w:rsidP="00212E31">
            <w:pPr>
              <w:rPr>
                <w:b/>
                <w:sz w:val="16"/>
                <w:szCs w:val="16"/>
                <w:lang w:val="en-CA"/>
              </w:rPr>
            </w:pPr>
            <w:r w:rsidRPr="007D0095">
              <w:rPr>
                <w:b/>
                <w:sz w:val="16"/>
                <w:szCs w:val="16"/>
                <w:lang w:val="en-CA"/>
              </w:rPr>
              <w:t xml:space="preserve">Dutch guidelines </w:t>
            </w:r>
          </w:p>
          <w:p w:rsidR="003D11BA" w:rsidRPr="007D0095" w:rsidRDefault="003D11BA" w:rsidP="00212E31">
            <w:pPr>
              <w:rPr>
                <w:b/>
                <w:sz w:val="16"/>
                <w:szCs w:val="16"/>
                <w:lang w:val="en-CA"/>
              </w:rPr>
            </w:pPr>
            <w:r w:rsidRPr="007D0095">
              <w:rPr>
                <w:b/>
                <w:noProof/>
                <w:sz w:val="16"/>
                <w:szCs w:val="16"/>
                <w:lang w:val="en-CA"/>
              </w:rPr>
              <w:t>(134, 141)</w:t>
            </w:r>
          </w:p>
        </w:tc>
        <w:tc>
          <w:tcPr>
            <w:tcW w:w="7371" w:type="dxa"/>
          </w:tcPr>
          <w:p w:rsidR="003D11BA" w:rsidRPr="00EB7443" w:rsidRDefault="003D11BA" w:rsidP="00212E31">
            <w:pPr>
              <w:rPr>
                <w:sz w:val="16"/>
                <w:szCs w:val="16"/>
                <w:lang w:val="en-CA"/>
              </w:rPr>
            </w:pPr>
            <w:r w:rsidRPr="00EB7443">
              <w:rPr>
                <w:b/>
                <w:sz w:val="16"/>
                <w:szCs w:val="16"/>
                <w:lang w:val="en-CA"/>
              </w:rPr>
              <w:t xml:space="preserve">Verification: </w:t>
            </w:r>
            <w:r w:rsidRPr="00EB7443">
              <w:rPr>
                <w:sz w:val="16"/>
                <w:szCs w:val="16"/>
                <w:lang w:val="en-CA"/>
              </w:rPr>
              <w:t xml:space="preserve">confirmation via objective evidence that  an already validated examination procedure is appropriate for a specific intended use in medical diagnostics in one’s own working environment (laboratory), and that it complies with the relevant acceptance criteria as described by the medical laboratory </w:t>
            </w:r>
          </w:p>
          <w:p w:rsidR="003D11BA" w:rsidRPr="00EB7443" w:rsidRDefault="003D11BA" w:rsidP="00212E31">
            <w:pPr>
              <w:rPr>
                <w:rFonts w:ascii="AdvTTc8c83e50" w:hAnsi="AdvTTc8c83e50" w:cs="AdvTTc8c83e50"/>
                <w:sz w:val="16"/>
                <w:szCs w:val="16"/>
                <w:lang w:val="en-CA"/>
              </w:rPr>
            </w:pPr>
          </w:p>
          <w:p w:rsidR="003D11BA" w:rsidRPr="00EB7443" w:rsidRDefault="003D11BA" w:rsidP="00212E31">
            <w:pPr>
              <w:rPr>
                <w:b/>
                <w:sz w:val="16"/>
                <w:szCs w:val="16"/>
                <w:lang w:val="en-CA"/>
              </w:rPr>
            </w:pPr>
            <w:r w:rsidRPr="00EB7443">
              <w:rPr>
                <w:sz w:val="16"/>
                <w:szCs w:val="16"/>
                <w:lang w:val="en-CA"/>
              </w:rPr>
              <w:t>Objectively obtained performance characteristics that are not influenced by the working environment and are documented in the validation report do not need to be verified in the individual laboratory.</w:t>
            </w:r>
          </w:p>
        </w:tc>
        <w:tc>
          <w:tcPr>
            <w:tcW w:w="5245" w:type="dxa"/>
          </w:tcPr>
          <w:p w:rsidR="003D11BA" w:rsidRPr="00140D64" w:rsidRDefault="003D11BA" w:rsidP="00212E31">
            <w:pPr>
              <w:ind w:left="175"/>
              <w:rPr>
                <w:sz w:val="16"/>
                <w:szCs w:val="16"/>
                <w:lang w:val="en-CA"/>
              </w:rPr>
            </w:pPr>
          </w:p>
          <w:p w:rsidR="003D11BA" w:rsidRDefault="003D11BA" w:rsidP="00212E31">
            <w:pPr>
              <w:pStyle w:val="ListParagraph"/>
              <w:ind w:left="317"/>
              <w:rPr>
                <w:sz w:val="16"/>
                <w:szCs w:val="16"/>
                <w:lang w:val="en-CA"/>
              </w:rPr>
            </w:pPr>
            <w:r>
              <w:rPr>
                <w:sz w:val="16"/>
                <w:szCs w:val="16"/>
                <w:lang w:val="en-CA"/>
              </w:rPr>
              <w:t>T</w:t>
            </w:r>
            <w:r w:rsidRPr="00101719">
              <w:rPr>
                <w:sz w:val="16"/>
                <w:szCs w:val="16"/>
                <w:lang w:val="en-CA"/>
              </w:rPr>
              <w:t>est with performance characteristics claims available</w:t>
            </w:r>
            <w:r>
              <w:rPr>
                <w:sz w:val="16"/>
                <w:szCs w:val="16"/>
                <w:lang w:val="en-CA"/>
              </w:rPr>
              <w:t xml:space="preserve"> from</w:t>
            </w:r>
          </w:p>
          <w:p w:rsidR="003D11BA" w:rsidRDefault="003D11BA" w:rsidP="003D11BA">
            <w:pPr>
              <w:pStyle w:val="ListParagraph"/>
              <w:numPr>
                <w:ilvl w:val="0"/>
                <w:numId w:val="42"/>
              </w:numPr>
              <w:rPr>
                <w:sz w:val="16"/>
                <w:szCs w:val="16"/>
                <w:lang w:val="en-CA"/>
              </w:rPr>
            </w:pPr>
            <w:r w:rsidRPr="00A764E3">
              <w:rPr>
                <w:sz w:val="16"/>
                <w:szCs w:val="16"/>
                <w:lang w:val="en-CA"/>
              </w:rPr>
              <w:t>CE/FDA labelled test</w:t>
            </w:r>
          </w:p>
          <w:p w:rsidR="003D11BA" w:rsidRDefault="003D11BA" w:rsidP="003D11BA">
            <w:pPr>
              <w:pStyle w:val="ListParagraph"/>
              <w:numPr>
                <w:ilvl w:val="0"/>
                <w:numId w:val="42"/>
              </w:numPr>
              <w:rPr>
                <w:sz w:val="16"/>
                <w:szCs w:val="16"/>
                <w:lang w:val="en-CA"/>
              </w:rPr>
            </w:pPr>
            <w:r>
              <w:rPr>
                <w:sz w:val="16"/>
                <w:szCs w:val="16"/>
                <w:lang w:val="en-CA"/>
              </w:rPr>
              <w:t>Published methods</w:t>
            </w:r>
          </w:p>
          <w:p w:rsidR="003D11BA" w:rsidRDefault="003D11BA" w:rsidP="003D11BA">
            <w:pPr>
              <w:pStyle w:val="ListParagraph"/>
              <w:numPr>
                <w:ilvl w:val="0"/>
                <w:numId w:val="42"/>
              </w:numPr>
              <w:rPr>
                <w:sz w:val="16"/>
                <w:szCs w:val="16"/>
                <w:lang w:val="en-CA"/>
              </w:rPr>
            </w:pPr>
            <w:r>
              <w:rPr>
                <w:sz w:val="16"/>
                <w:szCs w:val="16"/>
                <w:lang w:val="en-CA"/>
              </w:rPr>
              <w:t>Other accredited laboratory</w:t>
            </w:r>
          </w:p>
          <w:p w:rsidR="003D11BA" w:rsidRPr="00140D64" w:rsidRDefault="003D11BA" w:rsidP="00212E31">
            <w:pPr>
              <w:rPr>
                <w:sz w:val="16"/>
                <w:szCs w:val="16"/>
                <w:lang w:val="en-CA"/>
              </w:rPr>
            </w:pPr>
          </w:p>
        </w:tc>
      </w:tr>
      <w:tr w:rsidR="003D11BA" w:rsidRPr="00CA415F" w:rsidTr="00212E31">
        <w:tc>
          <w:tcPr>
            <w:tcW w:w="1300" w:type="dxa"/>
            <w:vMerge/>
          </w:tcPr>
          <w:p w:rsidR="003D11BA" w:rsidRPr="007D0095" w:rsidRDefault="003D11BA" w:rsidP="00212E31">
            <w:pPr>
              <w:rPr>
                <w:b/>
                <w:sz w:val="16"/>
                <w:szCs w:val="16"/>
                <w:lang w:val="en-CA"/>
              </w:rPr>
            </w:pPr>
          </w:p>
        </w:tc>
        <w:tc>
          <w:tcPr>
            <w:tcW w:w="7371" w:type="dxa"/>
          </w:tcPr>
          <w:p w:rsidR="003D11BA" w:rsidRPr="00EB7443" w:rsidRDefault="003D11BA" w:rsidP="00212E31">
            <w:pPr>
              <w:rPr>
                <w:sz w:val="16"/>
                <w:szCs w:val="16"/>
                <w:lang w:val="en-CA"/>
              </w:rPr>
            </w:pPr>
            <w:r w:rsidRPr="00EB7443">
              <w:rPr>
                <w:b/>
                <w:sz w:val="16"/>
                <w:szCs w:val="16"/>
                <w:lang w:val="en-CA"/>
              </w:rPr>
              <w:t xml:space="preserve">Validation: </w:t>
            </w:r>
            <w:r w:rsidRPr="00EB7443">
              <w:rPr>
                <w:sz w:val="16"/>
                <w:szCs w:val="16"/>
                <w:lang w:val="en-CA"/>
              </w:rPr>
              <w:t>demonstration via objective evidence that a new or modified  examination procedure is appropriate for a specific intended use in medical diagnostics, and that it complies</w:t>
            </w:r>
          </w:p>
          <w:p w:rsidR="003D11BA" w:rsidRPr="00EB7443" w:rsidRDefault="003D11BA" w:rsidP="00212E31">
            <w:pPr>
              <w:rPr>
                <w:sz w:val="16"/>
                <w:szCs w:val="16"/>
                <w:lang w:val="en-CA"/>
              </w:rPr>
            </w:pPr>
            <w:r w:rsidRPr="00EB7443">
              <w:rPr>
                <w:sz w:val="16"/>
                <w:szCs w:val="16"/>
                <w:lang w:val="en-CA"/>
              </w:rPr>
              <w:t>with the relevant acceptance criteria as described by the medical laboratory.</w:t>
            </w:r>
          </w:p>
          <w:p w:rsidR="003D11BA" w:rsidRPr="00EB7443" w:rsidRDefault="003D11BA" w:rsidP="00212E31">
            <w:pPr>
              <w:autoSpaceDE w:val="0"/>
              <w:autoSpaceDN w:val="0"/>
              <w:adjustRightInd w:val="0"/>
              <w:rPr>
                <w:rFonts w:ascii="AdvTTc8c83e50" w:hAnsi="AdvTTc8c83e50" w:cs="AdvTTc8c83e50"/>
                <w:sz w:val="16"/>
                <w:szCs w:val="16"/>
                <w:lang w:val="en-CA"/>
              </w:rPr>
            </w:pPr>
            <w:r w:rsidRPr="00EB7443">
              <w:rPr>
                <w:sz w:val="16"/>
                <w:szCs w:val="16"/>
                <w:lang w:val="en-CA"/>
              </w:rPr>
              <w:t xml:space="preserve">If certain topics are not applicable, or not possible (e.g. due to analysis type or disease prevalence, this should be considered and the consideration should be documented). </w:t>
            </w:r>
          </w:p>
        </w:tc>
        <w:tc>
          <w:tcPr>
            <w:tcW w:w="5245" w:type="dxa"/>
          </w:tcPr>
          <w:p w:rsidR="003D11BA" w:rsidRPr="00140D64" w:rsidRDefault="003D11BA" w:rsidP="003D11BA">
            <w:pPr>
              <w:pStyle w:val="ListParagraph"/>
              <w:numPr>
                <w:ilvl w:val="0"/>
                <w:numId w:val="38"/>
              </w:numPr>
              <w:ind w:left="317" w:hanging="142"/>
              <w:rPr>
                <w:sz w:val="16"/>
                <w:szCs w:val="16"/>
                <w:lang w:val="en-CA"/>
              </w:rPr>
            </w:pPr>
            <w:r w:rsidRPr="00A764E3">
              <w:rPr>
                <w:sz w:val="16"/>
                <w:szCs w:val="16"/>
                <w:lang w:val="en-CA"/>
              </w:rPr>
              <w:t>Tests wherefore these data are not available or the acceptance criteria are not met.</w:t>
            </w:r>
          </w:p>
          <w:p w:rsidR="003D11BA" w:rsidRDefault="003D11BA" w:rsidP="003D11BA">
            <w:pPr>
              <w:pStyle w:val="ListParagraph"/>
              <w:numPr>
                <w:ilvl w:val="0"/>
                <w:numId w:val="38"/>
              </w:numPr>
              <w:ind w:left="317" w:hanging="142"/>
              <w:rPr>
                <w:sz w:val="16"/>
                <w:szCs w:val="16"/>
                <w:lang w:val="en-CA"/>
              </w:rPr>
            </w:pPr>
            <w:r>
              <w:rPr>
                <w:sz w:val="16"/>
                <w:szCs w:val="16"/>
                <w:lang w:val="en-CA"/>
              </w:rPr>
              <w:t>A combination of verification and validation is possible depending on the availability of particular performance characteristics.</w:t>
            </w:r>
          </w:p>
          <w:p w:rsidR="003D11BA" w:rsidRPr="00AB03D5" w:rsidRDefault="003D11BA" w:rsidP="00212E31">
            <w:pPr>
              <w:pStyle w:val="ListParagraph"/>
              <w:ind w:left="317"/>
              <w:rPr>
                <w:sz w:val="16"/>
                <w:szCs w:val="16"/>
                <w:lang w:val="en-CA"/>
              </w:rPr>
            </w:pPr>
          </w:p>
        </w:tc>
      </w:tr>
      <w:tr w:rsidR="003D11BA" w:rsidRPr="003B196A" w:rsidTr="00212E31">
        <w:tc>
          <w:tcPr>
            <w:tcW w:w="1300" w:type="dxa"/>
            <w:vMerge w:val="restart"/>
          </w:tcPr>
          <w:p w:rsidR="003D11BA" w:rsidRDefault="003D11BA" w:rsidP="00212E31">
            <w:pPr>
              <w:rPr>
                <w:b/>
                <w:sz w:val="16"/>
                <w:szCs w:val="16"/>
                <w:lang w:val="en-CA"/>
              </w:rPr>
            </w:pPr>
            <w:r w:rsidRPr="007D0095">
              <w:rPr>
                <w:b/>
                <w:sz w:val="16"/>
                <w:szCs w:val="16"/>
                <w:lang w:val="en-CA"/>
              </w:rPr>
              <w:t xml:space="preserve">Belgian guidelines </w:t>
            </w:r>
          </w:p>
          <w:p w:rsidR="003D11BA" w:rsidRPr="007D0095" w:rsidRDefault="003D11BA" w:rsidP="00212E31">
            <w:pPr>
              <w:rPr>
                <w:b/>
                <w:sz w:val="16"/>
                <w:szCs w:val="16"/>
                <w:lang w:val="en-CA"/>
              </w:rPr>
            </w:pPr>
            <w:r>
              <w:rPr>
                <w:b/>
                <w:noProof/>
                <w:sz w:val="16"/>
                <w:szCs w:val="16"/>
                <w:lang w:val="en-CA"/>
              </w:rPr>
              <w:t>(142)</w:t>
            </w:r>
          </w:p>
        </w:tc>
        <w:tc>
          <w:tcPr>
            <w:tcW w:w="7371" w:type="dxa"/>
          </w:tcPr>
          <w:p w:rsidR="003D11BA" w:rsidRPr="00EB7443" w:rsidRDefault="003D11BA" w:rsidP="00212E31">
            <w:pPr>
              <w:rPr>
                <w:sz w:val="16"/>
                <w:szCs w:val="16"/>
                <w:lang w:val="en-CA"/>
              </w:rPr>
            </w:pPr>
            <w:r w:rsidRPr="00EB7443">
              <w:rPr>
                <w:b/>
                <w:sz w:val="16"/>
                <w:szCs w:val="16"/>
                <w:lang w:val="en-CA"/>
              </w:rPr>
              <w:t>Verification:</w:t>
            </w:r>
            <w:r w:rsidRPr="00EB7443">
              <w:rPr>
                <w:sz w:val="16"/>
                <w:szCs w:val="16"/>
                <w:lang w:val="en-CA"/>
              </w:rPr>
              <w:t xml:space="preserve"> Independent verification by the laboratory of the 'expected' performance characteristics to assure that a least comparable performance is achieved. The verification includes both analytical as well as clinical parameters.</w:t>
            </w:r>
          </w:p>
        </w:tc>
        <w:tc>
          <w:tcPr>
            <w:tcW w:w="5245" w:type="dxa"/>
          </w:tcPr>
          <w:p w:rsidR="003D11BA" w:rsidRPr="004D52FB" w:rsidRDefault="003D11BA" w:rsidP="003D11BA">
            <w:pPr>
              <w:pStyle w:val="ListParagraph"/>
              <w:numPr>
                <w:ilvl w:val="0"/>
                <w:numId w:val="38"/>
              </w:numPr>
              <w:ind w:left="317" w:hanging="142"/>
              <w:rPr>
                <w:sz w:val="16"/>
                <w:szCs w:val="16"/>
                <w:lang w:val="en-CA"/>
              </w:rPr>
            </w:pPr>
            <w:r>
              <w:rPr>
                <w:sz w:val="16"/>
                <w:szCs w:val="16"/>
                <w:lang w:val="en-CA"/>
              </w:rPr>
              <w:t xml:space="preserve">CE-labelled  </w:t>
            </w:r>
            <w:r w:rsidRPr="00140D64">
              <w:rPr>
                <w:sz w:val="16"/>
                <w:szCs w:val="16"/>
                <w:lang w:val="en-CA"/>
              </w:rPr>
              <w:t>applied according to manufacturer’s instructions</w:t>
            </w:r>
            <w:r w:rsidRPr="001539B3">
              <w:rPr>
                <w:sz w:val="16"/>
                <w:szCs w:val="16"/>
                <w:highlight w:val="yellow"/>
                <w:lang w:val="en-CA"/>
              </w:rPr>
              <w:t xml:space="preserve"> </w:t>
            </w:r>
          </w:p>
          <w:p w:rsidR="003D11BA" w:rsidRPr="00A764E3" w:rsidRDefault="003D11BA" w:rsidP="003D11BA">
            <w:pPr>
              <w:pStyle w:val="ListParagraph"/>
              <w:numPr>
                <w:ilvl w:val="0"/>
                <w:numId w:val="38"/>
              </w:numPr>
              <w:ind w:left="317" w:hanging="142"/>
              <w:rPr>
                <w:sz w:val="16"/>
                <w:szCs w:val="16"/>
                <w:lang w:val="en-CA"/>
              </w:rPr>
            </w:pPr>
            <w:r w:rsidRPr="008911CD">
              <w:rPr>
                <w:sz w:val="16"/>
                <w:szCs w:val="16"/>
                <w:lang w:val="en-CA"/>
              </w:rPr>
              <w:t>Published methods</w:t>
            </w:r>
            <w:r w:rsidRPr="003F0054">
              <w:rPr>
                <w:sz w:val="16"/>
                <w:szCs w:val="16"/>
                <w:lang w:val="en-CA"/>
              </w:rPr>
              <w:t xml:space="preserve"> </w:t>
            </w:r>
          </w:p>
        </w:tc>
      </w:tr>
      <w:tr w:rsidR="003D11BA" w:rsidRPr="00CA415F" w:rsidTr="00212E31">
        <w:tc>
          <w:tcPr>
            <w:tcW w:w="1300" w:type="dxa"/>
            <w:vMerge/>
          </w:tcPr>
          <w:p w:rsidR="003D11BA" w:rsidRPr="007D0095" w:rsidRDefault="003D11BA" w:rsidP="00212E31">
            <w:pPr>
              <w:rPr>
                <w:b/>
                <w:sz w:val="16"/>
                <w:szCs w:val="16"/>
                <w:lang w:val="en-CA"/>
              </w:rPr>
            </w:pPr>
          </w:p>
        </w:tc>
        <w:tc>
          <w:tcPr>
            <w:tcW w:w="7371" w:type="dxa"/>
          </w:tcPr>
          <w:p w:rsidR="003D11BA" w:rsidRPr="00EB7443" w:rsidRDefault="003D11BA" w:rsidP="00212E31">
            <w:pPr>
              <w:rPr>
                <w:sz w:val="16"/>
                <w:szCs w:val="16"/>
                <w:lang w:val="en-CA"/>
              </w:rPr>
            </w:pPr>
            <w:r w:rsidRPr="00EB7443">
              <w:rPr>
                <w:b/>
                <w:sz w:val="16"/>
                <w:szCs w:val="16"/>
                <w:lang w:val="en-CA"/>
              </w:rPr>
              <w:t xml:space="preserve">Validation: </w:t>
            </w:r>
            <w:r w:rsidRPr="00EB7443">
              <w:rPr>
                <w:sz w:val="16"/>
                <w:szCs w:val="16"/>
                <w:lang w:val="en-CA"/>
              </w:rPr>
              <w:t xml:space="preserve">the 'validation' should include the parameters needed to document  its suitability  for the application (by evaluating the predefined requirements for the application against objective criteria). </w:t>
            </w:r>
          </w:p>
        </w:tc>
        <w:tc>
          <w:tcPr>
            <w:tcW w:w="5245" w:type="dxa"/>
          </w:tcPr>
          <w:p w:rsidR="003D11BA" w:rsidRDefault="003D11BA" w:rsidP="003D11BA">
            <w:pPr>
              <w:pStyle w:val="ListParagraph"/>
              <w:numPr>
                <w:ilvl w:val="0"/>
                <w:numId w:val="38"/>
              </w:numPr>
              <w:ind w:left="317" w:hanging="142"/>
              <w:rPr>
                <w:sz w:val="16"/>
                <w:szCs w:val="16"/>
                <w:lang w:val="en-CA"/>
              </w:rPr>
            </w:pPr>
            <w:r>
              <w:rPr>
                <w:sz w:val="16"/>
                <w:szCs w:val="16"/>
                <w:lang w:val="en-CA"/>
              </w:rPr>
              <w:t>in-house method</w:t>
            </w:r>
          </w:p>
          <w:p w:rsidR="003D11BA" w:rsidRPr="00A764E3" w:rsidRDefault="003D11BA" w:rsidP="003D11BA">
            <w:pPr>
              <w:pStyle w:val="ListParagraph"/>
              <w:numPr>
                <w:ilvl w:val="0"/>
                <w:numId w:val="38"/>
              </w:numPr>
              <w:ind w:left="317" w:hanging="142"/>
              <w:rPr>
                <w:sz w:val="16"/>
                <w:szCs w:val="16"/>
                <w:lang w:val="en-CA"/>
              </w:rPr>
            </w:pPr>
            <w:r w:rsidRPr="00A263E5">
              <w:rPr>
                <w:sz w:val="16"/>
                <w:szCs w:val="16"/>
                <w:lang w:val="en-CA"/>
              </w:rPr>
              <w:t>modified</w:t>
            </w:r>
            <w:r w:rsidRPr="00140D64">
              <w:rPr>
                <w:color w:val="FF0000"/>
                <w:sz w:val="16"/>
                <w:szCs w:val="16"/>
                <w:lang w:val="en-CA"/>
              </w:rPr>
              <w:t xml:space="preserve"> </w:t>
            </w:r>
            <w:r w:rsidRPr="00A764E3">
              <w:rPr>
                <w:sz w:val="16"/>
                <w:szCs w:val="16"/>
                <w:lang w:val="en-CA"/>
              </w:rPr>
              <w:t>CE-labelled</w:t>
            </w:r>
            <w:r>
              <w:rPr>
                <w:sz w:val="16"/>
                <w:szCs w:val="16"/>
                <w:lang w:val="en-CA"/>
              </w:rPr>
              <w:t>/published</w:t>
            </w:r>
            <w:r w:rsidRPr="00A764E3">
              <w:rPr>
                <w:sz w:val="16"/>
                <w:szCs w:val="16"/>
                <w:lang w:val="en-CA"/>
              </w:rPr>
              <w:t xml:space="preserve"> test </w:t>
            </w:r>
          </w:p>
        </w:tc>
      </w:tr>
      <w:tr w:rsidR="003D11BA" w:rsidRPr="00F90646" w:rsidTr="00212E31">
        <w:tc>
          <w:tcPr>
            <w:tcW w:w="1300" w:type="dxa"/>
            <w:vMerge w:val="restart"/>
          </w:tcPr>
          <w:p w:rsidR="003D11BA" w:rsidRPr="007D0095" w:rsidRDefault="003D11BA" w:rsidP="00212E31">
            <w:pPr>
              <w:rPr>
                <w:b/>
                <w:color w:val="000000" w:themeColor="text1"/>
                <w:sz w:val="16"/>
                <w:szCs w:val="16"/>
                <w:lang w:val="en-CA"/>
              </w:rPr>
            </w:pPr>
            <w:r w:rsidRPr="007D0095">
              <w:rPr>
                <w:b/>
                <w:sz w:val="16"/>
                <w:szCs w:val="16"/>
                <w:lang w:val="en-CA"/>
              </w:rPr>
              <w:t xml:space="preserve">French </w:t>
            </w:r>
            <w:r w:rsidRPr="007D0095">
              <w:rPr>
                <w:b/>
                <w:color w:val="000000" w:themeColor="text1"/>
                <w:sz w:val="16"/>
                <w:szCs w:val="16"/>
                <w:lang w:val="en-CA"/>
              </w:rPr>
              <w:t xml:space="preserve">guidelines </w:t>
            </w:r>
          </w:p>
          <w:p w:rsidR="003D11BA" w:rsidRPr="007D0095" w:rsidRDefault="003D11BA" w:rsidP="00212E31">
            <w:pPr>
              <w:rPr>
                <w:b/>
                <w:sz w:val="16"/>
                <w:szCs w:val="16"/>
                <w:lang w:val="en-CA"/>
              </w:rPr>
            </w:pPr>
            <w:r w:rsidRPr="007D0095">
              <w:rPr>
                <w:b/>
                <w:noProof/>
                <w:color w:val="000000" w:themeColor="text1"/>
                <w:sz w:val="16"/>
                <w:szCs w:val="16"/>
                <w:lang w:val="en-CA"/>
              </w:rPr>
              <w:t>(120, 146, 147)</w:t>
            </w:r>
          </w:p>
        </w:tc>
        <w:tc>
          <w:tcPr>
            <w:tcW w:w="7371" w:type="dxa"/>
          </w:tcPr>
          <w:p w:rsidR="003D11BA" w:rsidRPr="00EB7443" w:rsidRDefault="003D11BA" w:rsidP="00212E31">
            <w:pPr>
              <w:rPr>
                <w:sz w:val="16"/>
                <w:szCs w:val="16"/>
                <w:lang w:val="en-CA"/>
              </w:rPr>
            </w:pPr>
            <w:r w:rsidRPr="00EB7443">
              <w:rPr>
                <w:b/>
                <w:sz w:val="16"/>
                <w:szCs w:val="16"/>
                <w:lang w:val="en-CA"/>
              </w:rPr>
              <w:t>Verification</w:t>
            </w:r>
            <w:r w:rsidRPr="00EB7443">
              <w:rPr>
                <w:sz w:val="16"/>
                <w:szCs w:val="16"/>
                <w:lang w:val="en-CA"/>
              </w:rPr>
              <w:t xml:space="preserve">: Confirmation that standard methods are used within their field of application, with specified performance characteristics, corresponding to the need of the clients (patients/prescribers) and are in control in the laboratory </w:t>
            </w:r>
          </w:p>
          <w:p w:rsidR="003D11BA" w:rsidRPr="00EB7443" w:rsidRDefault="003D11BA" w:rsidP="00212E31">
            <w:pPr>
              <w:rPr>
                <w:sz w:val="16"/>
                <w:szCs w:val="16"/>
                <w:lang w:val="en-CA"/>
              </w:rPr>
            </w:pPr>
            <w:r w:rsidRPr="00EB7443">
              <w:rPr>
                <w:sz w:val="16"/>
                <w:szCs w:val="16"/>
                <w:lang w:val="en-CA"/>
              </w:rPr>
              <w:t>Referral to available data from manufacturer/literature is acceptable if certain topics are not applicable/possible , with the exception of the demand for ‘in-house’ verification of trueness/accuracy, precision, measurement uncertainty and method comparison,</w:t>
            </w:r>
          </w:p>
        </w:tc>
        <w:tc>
          <w:tcPr>
            <w:tcW w:w="5245" w:type="dxa"/>
            <w:tcBorders>
              <w:bottom w:val="single" w:sz="4" w:space="0" w:color="auto"/>
            </w:tcBorders>
          </w:tcPr>
          <w:p w:rsidR="003D11BA" w:rsidRPr="00140D64" w:rsidRDefault="003D11BA" w:rsidP="003D11BA">
            <w:pPr>
              <w:pStyle w:val="ListParagraph"/>
              <w:numPr>
                <w:ilvl w:val="0"/>
                <w:numId w:val="38"/>
              </w:numPr>
              <w:ind w:left="317" w:hanging="142"/>
              <w:rPr>
                <w:sz w:val="16"/>
                <w:szCs w:val="16"/>
                <w:lang w:val="en-CA"/>
              </w:rPr>
            </w:pPr>
            <w:r w:rsidRPr="00140D64">
              <w:rPr>
                <w:sz w:val="16"/>
                <w:szCs w:val="16"/>
                <w:lang w:val="en-CA"/>
              </w:rPr>
              <w:t>CE-labelled method, applied according to manufacturer’s instructions</w:t>
            </w:r>
          </w:p>
          <w:p w:rsidR="003D11BA" w:rsidRPr="00140D64" w:rsidRDefault="003D11BA" w:rsidP="003D11BA">
            <w:pPr>
              <w:pStyle w:val="ListParagraph"/>
              <w:numPr>
                <w:ilvl w:val="0"/>
                <w:numId w:val="38"/>
              </w:numPr>
              <w:ind w:left="317" w:hanging="142"/>
              <w:rPr>
                <w:sz w:val="16"/>
                <w:szCs w:val="16"/>
                <w:lang w:val="en-CA"/>
              </w:rPr>
            </w:pPr>
            <w:r w:rsidRPr="00140D64">
              <w:rPr>
                <w:sz w:val="16"/>
                <w:szCs w:val="16"/>
                <w:lang w:val="en-CA"/>
              </w:rPr>
              <w:t>Published methods**</w:t>
            </w:r>
          </w:p>
          <w:p w:rsidR="003D11BA" w:rsidRPr="00140D64" w:rsidRDefault="003D11BA" w:rsidP="00212E31">
            <w:pPr>
              <w:rPr>
                <w:sz w:val="16"/>
                <w:szCs w:val="16"/>
                <w:lang w:val="en-CA"/>
              </w:rPr>
            </w:pPr>
          </w:p>
        </w:tc>
      </w:tr>
      <w:tr w:rsidR="003D11BA" w:rsidRPr="00CA415F" w:rsidTr="00212E31">
        <w:trPr>
          <w:trHeight w:val="587"/>
        </w:trPr>
        <w:tc>
          <w:tcPr>
            <w:tcW w:w="1300" w:type="dxa"/>
            <w:vMerge/>
          </w:tcPr>
          <w:p w:rsidR="003D11BA" w:rsidRPr="007D0095" w:rsidRDefault="003D11BA" w:rsidP="00212E31">
            <w:pPr>
              <w:rPr>
                <w:b/>
                <w:sz w:val="16"/>
                <w:szCs w:val="16"/>
                <w:lang w:val="en-CA"/>
              </w:rPr>
            </w:pPr>
          </w:p>
        </w:tc>
        <w:tc>
          <w:tcPr>
            <w:tcW w:w="7371" w:type="dxa"/>
          </w:tcPr>
          <w:p w:rsidR="003D11BA" w:rsidRPr="00EB7443" w:rsidRDefault="003D11BA" w:rsidP="00212E31">
            <w:pPr>
              <w:rPr>
                <w:b/>
                <w:sz w:val="16"/>
                <w:szCs w:val="16"/>
                <w:lang w:val="en-CA"/>
              </w:rPr>
            </w:pPr>
            <w:r w:rsidRPr="00EB7443">
              <w:rPr>
                <w:b/>
                <w:sz w:val="16"/>
                <w:szCs w:val="16"/>
                <w:lang w:val="en-CA"/>
              </w:rPr>
              <w:t xml:space="preserve">Validation: </w:t>
            </w:r>
            <w:r w:rsidRPr="00EB7443">
              <w:rPr>
                <w:sz w:val="16"/>
                <w:szCs w:val="16"/>
                <w:lang w:val="en-CA"/>
              </w:rPr>
              <w:t>Confirmation that non-standard methods are used within their field of application , that their characteristics and performance criteria correspond to the need of the clients (patients/prescribers), and are in control in the laboratory.</w:t>
            </w:r>
          </w:p>
        </w:tc>
        <w:tc>
          <w:tcPr>
            <w:tcW w:w="5245" w:type="dxa"/>
            <w:tcBorders>
              <w:bottom w:val="single" w:sz="4" w:space="0" w:color="auto"/>
            </w:tcBorders>
          </w:tcPr>
          <w:p w:rsidR="003D11BA" w:rsidRPr="00140D64" w:rsidRDefault="003D11BA" w:rsidP="003D11BA">
            <w:pPr>
              <w:pStyle w:val="ListParagraph"/>
              <w:numPr>
                <w:ilvl w:val="0"/>
                <w:numId w:val="41"/>
              </w:numPr>
              <w:ind w:left="317" w:hanging="142"/>
              <w:rPr>
                <w:sz w:val="16"/>
                <w:szCs w:val="16"/>
                <w:lang w:val="en-CA"/>
              </w:rPr>
            </w:pPr>
            <w:r>
              <w:rPr>
                <w:sz w:val="16"/>
                <w:szCs w:val="16"/>
                <w:lang w:val="en-CA"/>
              </w:rPr>
              <w:t>I</w:t>
            </w:r>
            <w:r w:rsidRPr="00140D64">
              <w:rPr>
                <w:sz w:val="16"/>
                <w:szCs w:val="16"/>
                <w:lang w:val="en-CA"/>
              </w:rPr>
              <w:t>n-house method</w:t>
            </w:r>
          </w:p>
          <w:p w:rsidR="003D11BA" w:rsidRPr="00140D64" w:rsidRDefault="003D11BA" w:rsidP="003D11BA">
            <w:pPr>
              <w:pStyle w:val="ListParagraph"/>
              <w:numPr>
                <w:ilvl w:val="0"/>
                <w:numId w:val="41"/>
              </w:numPr>
              <w:ind w:left="317" w:hanging="142"/>
              <w:rPr>
                <w:sz w:val="16"/>
                <w:szCs w:val="16"/>
                <w:lang w:val="en-CA"/>
              </w:rPr>
            </w:pPr>
            <w:r w:rsidRPr="00A263E5">
              <w:rPr>
                <w:sz w:val="16"/>
                <w:szCs w:val="16"/>
                <w:lang w:val="en-CA"/>
              </w:rPr>
              <w:t>modified</w:t>
            </w:r>
            <w:r w:rsidRPr="00140D64">
              <w:rPr>
                <w:color w:val="FF0000"/>
                <w:sz w:val="16"/>
                <w:szCs w:val="16"/>
                <w:lang w:val="en-CA"/>
              </w:rPr>
              <w:t xml:space="preserve"> </w:t>
            </w:r>
            <w:r w:rsidRPr="00A764E3">
              <w:rPr>
                <w:sz w:val="16"/>
                <w:szCs w:val="16"/>
                <w:lang w:val="en-CA"/>
              </w:rPr>
              <w:t>CE-labelled</w:t>
            </w:r>
            <w:r>
              <w:rPr>
                <w:sz w:val="16"/>
                <w:szCs w:val="16"/>
                <w:lang w:val="en-CA"/>
              </w:rPr>
              <w:t>/published</w:t>
            </w:r>
            <w:r w:rsidRPr="00A764E3">
              <w:rPr>
                <w:sz w:val="16"/>
                <w:szCs w:val="16"/>
                <w:lang w:val="en-CA"/>
              </w:rPr>
              <w:t xml:space="preserve"> test</w:t>
            </w:r>
          </w:p>
        </w:tc>
      </w:tr>
      <w:tr w:rsidR="003D11BA" w:rsidRPr="00F90646" w:rsidTr="00212E31">
        <w:tc>
          <w:tcPr>
            <w:tcW w:w="1300" w:type="dxa"/>
            <w:vMerge w:val="restart"/>
          </w:tcPr>
          <w:p w:rsidR="003D11BA" w:rsidRPr="007D0095" w:rsidRDefault="003D11BA" w:rsidP="00212E31">
            <w:pPr>
              <w:rPr>
                <w:b/>
                <w:sz w:val="16"/>
                <w:szCs w:val="16"/>
                <w:lang w:val="en-CA"/>
              </w:rPr>
            </w:pPr>
            <w:r w:rsidRPr="007D0095">
              <w:rPr>
                <w:b/>
                <w:sz w:val="16"/>
                <w:szCs w:val="16"/>
                <w:lang w:val="en-CA"/>
              </w:rPr>
              <w:t>American guidelines</w:t>
            </w:r>
          </w:p>
          <w:p w:rsidR="003D11BA" w:rsidRPr="007D0095" w:rsidRDefault="003D11BA" w:rsidP="00212E31">
            <w:pPr>
              <w:rPr>
                <w:b/>
                <w:sz w:val="16"/>
                <w:szCs w:val="16"/>
                <w:lang w:val="en-CA"/>
              </w:rPr>
            </w:pPr>
            <w:r w:rsidRPr="007D0095">
              <w:rPr>
                <w:b/>
                <w:noProof/>
                <w:sz w:val="16"/>
                <w:szCs w:val="16"/>
                <w:lang w:val="en-CA"/>
              </w:rPr>
              <w:t>(128, 133)</w:t>
            </w:r>
          </w:p>
        </w:tc>
        <w:tc>
          <w:tcPr>
            <w:tcW w:w="7371" w:type="dxa"/>
          </w:tcPr>
          <w:p w:rsidR="003D11BA" w:rsidRPr="00A764E3" w:rsidRDefault="003D11BA" w:rsidP="00212E31">
            <w:pPr>
              <w:rPr>
                <w:sz w:val="16"/>
                <w:szCs w:val="16"/>
                <w:lang w:val="en-CA"/>
              </w:rPr>
            </w:pPr>
            <w:r w:rsidRPr="00A70A7E">
              <w:rPr>
                <w:b/>
                <w:sz w:val="16"/>
                <w:szCs w:val="16"/>
                <w:lang w:val="en-CA"/>
              </w:rPr>
              <w:t>Verification:</w:t>
            </w:r>
            <w:r w:rsidRPr="00EA4342">
              <w:rPr>
                <w:sz w:val="16"/>
                <w:szCs w:val="16"/>
                <w:lang w:val="en-CA"/>
              </w:rPr>
              <w:t xml:space="preserve"> an abbreviated process to demonstrate that a test performs in substantial compliance to previously established claims.</w:t>
            </w:r>
          </w:p>
        </w:tc>
        <w:tc>
          <w:tcPr>
            <w:tcW w:w="5245" w:type="dxa"/>
            <w:tcBorders>
              <w:bottom w:val="single" w:sz="4" w:space="0" w:color="auto"/>
            </w:tcBorders>
          </w:tcPr>
          <w:p w:rsidR="003D11BA" w:rsidRPr="00220FCF" w:rsidRDefault="003D11BA" w:rsidP="003D11BA">
            <w:pPr>
              <w:pStyle w:val="ListParagraph"/>
              <w:numPr>
                <w:ilvl w:val="0"/>
                <w:numId w:val="39"/>
              </w:numPr>
              <w:ind w:left="317" w:hanging="142"/>
              <w:rPr>
                <w:sz w:val="16"/>
                <w:szCs w:val="16"/>
                <w:lang w:val="en-CA"/>
              </w:rPr>
            </w:pPr>
            <w:r w:rsidRPr="00220FCF">
              <w:rPr>
                <w:sz w:val="16"/>
                <w:szCs w:val="16"/>
                <w:lang w:val="en-CA"/>
              </w:rPr>
              <w:t>FDA approved/cleared tests</w:t>
            </w:r>
          </w:p>
        </w:tc>
      </w:tr>
      <w:tr w:rsidR="003D11BA" w:rsidRPr="00CA415F" w:rsidTr="00212E31">
        <w:trPr>
          <w:trHeight w:val="408"/>
        </w:trPr>
        <w:tc>
          <w:tcPr>
            <w:tcW w:w="1300" w:type="dxa"/>
            <w:vMerge/>
          </w:tcPr>
          <w:p w:rsidR="003D11BA" w:rsidRPr="00F90646" w:rsidRDefault="003D11BA" w:rsidP="00212E31">
            <w:pPr>
              <w:rPr>
                <w:sz w:val="16"/>
                <w:szCs w:val="16"/>
                <w:lang w:val="en-CA"/>
              </w:rPr>
            </w:pPr>
          </w:p>
        </w:tc>
        <w:tc>
          <w:tcPr>
            <w:tcW w:w="7371" w:type="dxa"/>
          </w:tcPr>
          <w:p w:rsidR="003D11BA" w:rsidRPr="00A70A7E" w:rsidRDefault="003D11BA" w:rsidP="00212E31">
            <w:pPr>
              <w:rPr>
                <w:b/>
                <w:sz w:val="16"/>
                <w:szCs w:val="16"/>
                <w:lang w:val="en-CA"/>
              </w:rPr>
            </w:pPr>
            <w:r w:rsidRPr="00A70A7E">
              <w:rPr>
                <w:b/>
                <w:sz w:val="16"/>
                <w:szCs w:val="16"/>
                <w:lang w:val="en-CA"/>
              </w:rPr>
              <w:t>Validation:</w:t>
            </w:r>
            <w:r>
              <w:rPr>
                <w:sz w:val="16"/>
                <w:szCs w:val="16"/>
                <w:lang w:val="en-CA"/>
              </w:rPr>
              <w:t xml:space="preserve"> </w:t>
            </w:r>
            <w:r w:rsidRPr="00EA4342">
              <w:rPr>
                <w:sz w:val="16"/>
                <w:szCs w:val="16"/>
                <w:lang w:val="en-CA"/>
              </w:rPr>
              <w:t xml:space="preserve">provision of objective evidence through a defined process that a test performs as intended (CLSI). </w:t>
            </w:r>
          </w:p>
        </w:tc>
        <w:tc>
          <w:tcPr>
            <w:tcW w:w="5245" w:type="dxa"/>
          </w:tcPr>
          <w:p w:rsidR="003D11BA" w:rsidRDefault="003D11BA" w:rsidP="003D11BA">
            <w:pPr>
              <w:pStyle w:val="ListParagraph"/>
              <w:numPr>
                <w:ilvl w:val="0"/>
                <w:numId w:val="38"/>
              </w:numPr>
              <w:ind w:left="317" w:hanging="142"/>
              <w:rPr>
                <w:sz w:val="16"/>
                <w:szCs w:val="16"/>
                <w:lang w:val="en-CA"/>
              </w:rPr>
            </w:pPr>
            <w:r>
              <w:rPr>
                <w:sz w:val="16"/>
                <w:szCs w:val="16"/>
                <w:lang w:val="en-CA"/>
              </w:rPr>
              <w:t>not FDA approved/cleared tests</w:t>
            </w:r>
          </w:p>
          <w:p w:rsidR="003D11BA" w:rsidRPr="00220FCF" w:rsidRDefault="003D11BA" w:rsidP="003D11BA">
            <w:pPr>
              <w:pStyle w:val="ListParagraph"/>
              <w:numPr>
                <w:ilvl w:val="0"/>
                <w:numId w:val="38"/>
              </w:numPr>
              <w:ind w:left="317" w:hanging="142"/>
              <w:rPr>
                <w:sz w:val="16"/>
                <w:szCs w:val="16"/>
                <w:lang w:val="en-CA"/>
              </w:rPr>
            </w:pPr>
            <w:r w:rsidRPr="00220FCF">
              <w:rPr>
                <w:sz w:val="16"/>
                <w:szCs w:val="16"/>
                <w:lang w:val="en-CA"/>
              </w:rPr>
              <w:t xml:space="preserve">modified FDA approved/cleared tests </w:t>
            </w:r>
          </w:p>
        </w:tc>
      </w:tr>
    </w:tbl>
    <w:p w:rsidR="003D11BA" w:rsidRDefault="003D11BA" w:rsidP="00212E31">
      <w:pPr>
        <w:ind w:left="284"/>
        <w:rPr>
          <w:sz w:val="16"/>
          <w:szCs w:val="16"/>
          <w:lang w:val="en-CA"/>
        </w:rPr>
      </w:pPr>
      <w:r w:rsidRPr="00101719">
        <w:rPr>
          <w:sz w:val="16"/>
          <w:szCs w:val="16"/>
          <w:lang w:val="en-CA"/>
        </w:rPr>
        <w:t>* The ISO 15189 directive does not define the  term ‘standard method’. However ISO/IEC 17025</w:t>
      </w:r>
      <w:r>
        <w:rPr>
          <w:sz w:val="16"/>
          <w:szCs w:val="16"/>
          <w:lang w:val="en-CA"/>
        </w:rPr>
        <w:t xml:space="preserve"> </w:t>
      </w:r>
      <w:r w:rsidRPr="00101719">
        <w:rPr>
          <w:sz w:val="16"/>
          <w:szCs w:val="16"/>
          <w:lang w:val="en-CA"/>
        </w:rPr>
        <w:t xml:space="preserve">advises to select a method published in (inter)national or regional standards, or by reputable technical organizations, or in relevant scientific texts or journals or  specified by the manufacturer of the </w:t>
      </w:r>
      <w:r w:rsidRPr="00C06AA2">
        <w:rPr>
          <w:color w:val="000000" w:themeColor="text1"/>
          <w:sz w:val="16"/>
          <w:szCs w:val="16"/>
          <w:lang w:val="en-CA"/>
        </w:rPr>
        <w:t xml:space="preserve">equipment </w:t>
      </w:r>
      <w:r>
        <w:rPr>
          <w:noProof/>
          <w:color w:val="000000" w:themeColor="text1"/>
          <w:sz w:val="16"/>
          <w:szCs w:val="16"/>
          <w:lang w:val="en-CA"/>
        </w:rPr>
        <w:t>(129)</w:t>
      </w:r>
      <w:r w:rsidRPr="00C06AA2">
        <w:rPr>
          <w:color w:val="000000" w:themeColor="text1"/>
          <w:sz w:val="16"/>
          <w:szCs w:val="16"/>
          <w:lang w:val="en-CA"/>
        </w:rPr>
        <w:t xml:space="preserve">;** </w:t>
      </w:r>
      <w:r>
        <w:rPr>
          <w:sz w:val="16"/>
          <w:szCs w:val="16"/>
          <w:lang w:val="en-CA"/>
        </w:rPr>
        <w:t>books with authority, peer reviewed journals, international norms or consensus, (inter)national regulations</w:t>
      </w:r>
    </w:p>
    <w:p w:rsidR="003D11BA" w:rsidRDefault="003D11BA">
      <w:pPr>
        <w:rPr>
          <w:lang w:val="en-CA"/>
        </w:rPr>
      </w:pPr>
      <w:r>
        <w:rPr>
          <w:lang w:val="en-CA"/>
        </w:rPr>
        <w:br w:type="page"/>
      </w:r>
    </w:p>
    <w:p w:rsidR="003D11BA" w:rsidRPr="0027326B" w:rsidRDefault="003D11BA" w:rsidP="00212E31">
      <w:pPr>
        <w:rPr>
          <w:b/>
          <w:color w:val="000000" w:themeColor="text1"/>
          <w:lang w:val="en-CA"/>
        </w:rPr>
      </w:pPr>
      <w:r>
        <w:rPr>
          <w:b/>
          <w:lang w:val="en-CA"/>
        </w:rPr>
        <w:lastRenderedPageBreak/>
        <w:t>Table 2A.</w:t>
      </w:r>
      <w:r w:rsidRPr="001E2B0B">
        <w:rPr>
          <w:b/>
          <w:lang w:val="en-CA"/>
        </w:rPr>
        <w:t xml:space="preserve"> </w:t>
      </w:r>
      <w:r>
        <w:rPr>
          <w:b/>
          <w:lang w:val="en-CA"/>
        </w:rPr>
        <w:t>Minimal requirem</w:t>
      </w:r>
      <w:r w:rsidRPr="0027326B">
        <w:rPr>
          <w:b/>
          <w:color w:val="000000" w:themeColor="text1"/>
          <w:lang w:val="en-CA"/>
        </w:rPr>
        <w:t>ents verification (</w:t>
      </w:r>
      <w:r>
        <w:rPr>
          <w:b/>
          <w:color w:val="000000" w:themeColor="text1"/>
          <w:lang w:val="en-CA"/>
        </w:rPr>
        <w:t>I</w:t>
      </w:r>
      <w:r w:rsidRPr="0027326B">
        <w:rPr>
          <w:b/>
          <w:color w:val="000000" w:themeColor="text1"/>
          <w:lang w:val="en-CA"/>
        </w:rPr>
        <w:t>)/ validation (</w:t>
      </w:r>
      <w:r>
        <w:rPr>
          <w:b/>
          <w:color w:val="000000" w:themeColor="text1"/>
          <w:lang w:val="en-CA"/>
        </w:rPr>
        <w:t>II</w:t>
      </w:r>
      <w:r w:rsidRPr="0027326B">
        <w:rPr>
          <w:b/>
          <w:color w:val="000000" w:themeColor="text1"/>
          <w:lang w:val="en-CA"/>
        </w:rPr>
        <w:t xml:space="preserve">) as included in CAP accreditation guidelines, ISO15189 and national ISO15189 translations/interpretations </w:t>
      </w:r>
    </w:p>
    <w:tbl>
      <w:tblPr>
        <w:tblStyle w:val="TableGrid"/>
        <w:tblW w:w="15021" w:type="dxa"/>
        <w:tblLayout w:type="fixed"/>
        <w:tblLook w:val="04A0" w:firstRow="1" w:lastRow="0" w:firstColumn="1" w:lastColumn="0" w:noHBand="0" w:noVBand="1"/>
      </w:tblPr>
      <w:tblGrid>
        <w:gridCol w:w="1064"/>
        <w:gridCol w:w="349"/>
        <w:gridCol w:w="1984"/>
        <w:gridCol w:w="1276"/>
        <w:gridCol w:w="1559"/>
        <w:gridCol w:w="1276"/>
        <w:gridCol w:w="142"/>
        <w:gridCol w:w="1109"/>
        <w:gridCol w:w="2435"/>
        <w:gridCol w:w="1984"/>
        <w:gridCol w:w="1843"/>
      </w:tblGrid>
      <w:tr w:rsidR="003D11BA" w:rsidRPr="0027326B" w:rsidTr="00212E31">
        <w:trPr>
          <w:trHeight w:val="948"/>
        </w:trPr>
        <w:tc>
          <w:tcPr>
            <w:tcW w:w="1064" w:type="dxa"/>
            <w:shd w:val="clear" w:color="auto" w:fill="D5DCE4" w:themeFill="text2" w:themeFillTint="33"/>
          </w:tcPr>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tc>
        <w:tc>
          <w:tcPr>
            <w:tcW w:w="349" w:type="dxa"/>
            <w:shd w:val="clear" w:color="auto" w:fill="D5DCE4" w:themeFill="text2" w:themeFillTint="33"/>
          </w:tcPr>
          <w:p w:rsidR="003D11BA" w:rsidRPr="0027326B" w:rsidRDefault="003D11BA" w:rsidP="00212E31">
            <w:pPr>
              <w:rPr>
                <w:rFonts w:ascii="Calibri" w:hAnsi="Calibri" w:cs="Calibri"/>
                <w:color w:val="000000" w:themeColor="text1"/>
                <w:sz w:val="16"/>
                <w:szCs w:val="16"/>
                <w:lang w:val="en-CA"/>
              </w:rPr>
            </w:pPr>
          </w:p>
        </w:tc>
        <w:tc>
          <w:tcPr>
            <w:tcW w:w="1984" w:type="dxa"/>
            <w:shd w:val="clear" w:color="auto" w:fill="D5DCE4" w:themeFill="text2" w:themeFillTint="33"/>
          </w:tcPr>
          <w:p w:rsidR="003D11BA" w:rsidRPr="0027326B" w:rsidRDefault="003D11BA" w:rsidP="00212E31">
            <w:pPr>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 xml:space="preserve">Precision </w:t>
            </w:r>
          </w:p>
          <w:p w:rsidR="003D11BA" w:rsidRPr="0027326B" w:rsidRDefault="003D11BA" w:rsidP="00212E31">
            <w:pPr>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Measurement uncertainty</w:t>
            </w:r>
          </w:p>
          <w:p w:rsidR="003D11BA" w:rsidRPr="0027326B" w:rsidRDefault="003D11BA" w:rsidP="00212E31">
            <w:pPr>
              <w:rPr>
                <w:b/>
                <w:color w:val="000000" w:themeColor="text1"/>
                <w:sz w:val="16"/>
                <w:szCs w:val="16"/>
                <w:lang w:val="en-CA"/>
              </w:rPr>
            </w:pPr>
          </w:p>
        </w:tc>
        <w:tc>
          <w:tcPr>
            <w:tcW w:w="1276"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Trueness/</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Accuracy</w:t>
            </w:r>
          </w:p>
        </w:tc>
        <w:tc>
          <w:tcPr>
            <w:tcW w:w="1559"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Analytical sensitivity</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LOD</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LOQ</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Linearity</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Measuring interval</w:t>
            </w:r>
          </w:p>
        </w:tc>
        <w:tc>
          <w:tcPr>
            <w:tcW w:w="1276"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Analytical specificity</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Interferences</w:t>
            </w:r>
          </w:p>
        </w:tc>
        <w:tc>
          <w:tcPr>
            <w:tcW w:w="1251" w:type="dxa"/>
            <w:gridSpan w:val="2"/>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Carry-over</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Robustness</w:t>
            </w:r>
          </w:p>
        </w:tc>
        <w:tc>
          <w:tcPr>
            <w:tcW w:w="2435"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Method comparison</w:t>
            </w:r>
          </w:p>
        </w:tc>
        <w:tc>
          <w:tcPr>
            <w:tcW w:w="1984"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Reference Interval</w:t>
            </w:r>
          </w:p>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Cut-off values</w:t>
            </w:r>
          </w:p>
        </w:tc>
        <w:tc>
          <w:tcPr>
            <w:tcW w:w="1843" w:type="dxa"/>
            <w:shd w:val="clear" w:color="auto" w:fill="D5DCE4" w:themeFill="text2" w:themeFillTint="33"/>
          </w:tcPr>
          <w:p w:rsidR="003D11BA" w:rsidRPr="0027326B" w:rsidRDefault="003D11BA" w:rsidP="00212E31">
            <w:pPr>
              <w:autoSpaceDE w:val="0"/>
              <w:autoSpaceDN w:val="0"/>
              <w:adjustRightInd w:val="0"/>
              <w:rPr>
                <w:rFonts w:ascii="Calibri" w:hAnsi="Calibri" w:cs="Calibri"/>
                <w:b/>
                <w:color w:val="000000" w:themeColor="text1"/>
                <w:sz w:val="16"/>
                <w:szCs w:val="16"/>
                <w:lang w:val="en-CA"/>
              </w:rPr>
            </w:pPr>
            <w:r w:rsidRPr="0027326B">
              <w:rPr>
                <w:rFonts w:ascii="Calibri" w:hAnsi="Calibri" w:cs="Calibri"/>
                <w:b/>
                <w:color w:val="000000" w:themeColor="text1"/>
                <w:sz w:val="16"/>
                <w:szCs w:val="16"/>
                <w:lang w:val="en-CA"/>
              </w:rPr>
              <w:t>Diagnostic accuracy</w:t>
            </w:r>
          </w:p>
        </w:tc>
      </w:tr>
      <w:tr w:rsidR="003D11BA" w:rsidRPr="0027326B" w:rsidTr="00212E31">
        <w:trPr>
          <w:trHeight w:val="204"/>
        </w:trPr>
        <w:tc>
          <w:tcPr>
            <w:tcW w:w="1064" w:type="dxa"/>
            <w:vMerge w:val="restart"/>
            <w:vAlign w:val="center"/>
          </w:tcPr>
          <w:p w:rsidR="003D11BA" w:rsidRPr="0027326B" w:rsidRDefault="003D11BA" w:rsidP="00212E31">
            <w:pPr>
              <w:rPr>
                <w:b/>
                <w:color w:val="000000" w:themeColor="text1"/>
                <w:sz w:val="16"/>
                <w:szCs w:val="16"/>
                <w:lang w:val="en-CA"/>
              </w:rPr>
            </w:pPr>
            <w:r w:rsidRPr="0027326B">
              <w:rPr>
                <w:b/>
                <w:color w:val="000000" w:themeColor="text1"/>
                <w:sz w:val="16"/>
                <w:szCs w:val="16"/>
                <w:lang w:val="en-CA"/>
              </w:rPr>
              <w:t>ISO 15189</w:t>
            </w:r>
            <w:r>
              <w:rPr>
                <w:b/>
                <w:color w:val="000000" w:themeColor="text1"/>
                <w:sz w:val="16"/>
                <w:szCs w:val="16"/>
                <w:lang w:val="en-CA"/>
              </w:rPr>
              <w:t xml:space="preserve"> </w:t>
            </w:r>
            <w:r>
              <w:rPr>
                <w:b/>
                <w:noProof/>
                <w:color w:val="000000" w:themeColor="text1"/>
                <w:sz w:val="16"/>
                <w:szCs w:val="16"/>
                <w:lang w:val="en-CA"/>
              </w:rPr>
              <w:t>(115)</w:t>
            </w: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w:t>
            </w:r>
          </w:p>
        </w:tc>
        <w:tc>
          <w:tcPr>
            <w:tcW w:w="11765" w:type="dxa"/>
            <w:gridSpan w:val="8"/>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Verify/confirm performance claims of the manufacturer relevant for the intended use. </w:t>
            </w:r>
            <w:r w:rsidRPr="0027326B">
              <w:rPr>
                <w:b/>
                <w:color w:val="000000" w:themeColor="text1"/>
                <w:sz w:val="16"/>
                <w:szCs w:val="16"/>
                <w:lang w:val="en-CA"/>
              </w:rPr>
              <w:t>No specific minimal requirements stated for verification</w:t>
            </w:r>
          </w:p>
        </w:tc>
        <w:tc>
          <w:tcPr>
            <w:tcW w:w="1843" w:type="dxa"/>
          </w:tcPr>
          <w:p w:rsidR="003D11BA" w:rsidRPr="0027326B" w:rsidRDefault="003D11BA" w:rsidP="00212E31">
            <w:pPr>
              <w:rPr>
                <w:color w:val="000000" w:themeColor="text1"/>
                <w:sz w:val="16"/>
                <w:szCs w:val="16"/>
                <w:lang w:val="en-CA"/>
              </w:rPr>
            </w:pPr>
          </w:p>
        </w:tc>
      </w:tr>
      <w:tr w:rsidR="003D11BA" w:rsidRPr="00CA415F" w:rsidTr="00212E31">
        <w:trPr>
          <w:trHeight w:val="962"/>
        </w:trPr>
        <w:tc>
          <w:tcPr>
            <w:tcW w:w="1064" w:type="dxa"/>
            <w:vMerge/>
            <w:vAlign w:val="center"/>
          </w:tcPr>
          <w:p w:rsidR="003D11BA" w:rsidRPr="0027326B" w:rsidRDefault="003D11BA" w:rsidP="00212E31">
            <w:pPr>
              <w:rPr>
                <w:b/>
                <w:color w:val="000000" w:themeColor="text1"/>
                <w:sz w:val="16"/>
                <w:szCs w:val="16"/>
                <w:lang w:val="en-CA"/>
              </w:rPr>
            </w:pP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II</w:t>
            </w:r>
          </w:p>
        </w:tc>
        <w:tc>
          <w:tcPr>
            <w:tcW w:w="1984"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-Intermediate precision/between 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w:t>
            </w:r>
            <w:r w:rsidRPr="00020914">
              <w:rPr>
                <w:color w:val="000000" w:themeColor="text1"/>
                <w:sz w:val="16"/>
                <w:szCs w:val="16"/>
                <w:lang w:val="en-CA"/>
              </w:rPr>
              <w:t>measurement uncertainty</w:t>
            </w:r>
          </w:p>
        </w:tc>
        <w:tc>
          <w:tcPr>
            <w:tcW w:w="1276"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Accuracy</w:t>
            </w:r>
          </w:p>
        </w:tc>
        <w:tc>
          <w:tcPr>
            <w:tcW w:w="1559"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-LOQ</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-Measuring interval</w:t>
            </w:r>
          </w:p>
        </w:tc>
        <w:tc>
          <w:tcPr>
            <w:tcW w:w="1276"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-interferences</w:t>
            </w:r>
          </w:p>
        </w:tc>
        <w:tc>
          <w:tcPr>
            <w:tcW w:w="1251" w:type="dxa"/>
            <w:gridSpan w:val="2"/>
          </w:tcPr>
          <w:p w:rsidR="003D11BA" w:rsidRPr="0027326B" w:rsidRDefault="003D11BA" w:rsidP="00212E31">
            <w:pPr>
              <w:rPr>
                <w:color w:val="000000" w:themeColor="text1"/>
                <w:sz w:val="16"/>
                <w:szCs w:val="16"/>
                <w:lang w:val="en-CA"/>
              </w:rPr>
            </w:pPr>
          </w:p>
        </w:tc>
        <w:tc>
          <w:tcPr>
            <w:tcW w:w="2435" w:type="dxa"/>
          </w:tcPr>
          <w:p w:rsidR="003D11BA" w:rsidRPr="0027326B" w:rsidRDefault="003D11BA" w:rsidP="00212E31">
            <w:pPr>
              <w:rPr>
                <w:color w:val="000000" w:themeColor="text1"/>
                <w:sz w:val="16"/>
                <w:szCs w:val="16"/>
                <w:highlight w:val="yellow"/>
                <w:lang w:val="en-CA"/>
              </w:rPr>
            </w:pPr>
            <w:r w:rsidRPr="0027326B">
              <w:rPr>
                <w:color w:val="000000" w:themeColor="text1"/>
                <w:sz w:val="16"/>
                <w:szCs w:val="16"/>
                <w:lang w:val="en-CA"/>
              </w:rPr>
              <w:t>Comparability of results is required   when using methods, apparatus or procedures</w:t>
            </w:r>
          </w:p>
        </w:tc>
        <w:tc>
          <w:tcPr>
            <w:tcW w:w="1984"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interval/decision limit</w:t>
            </w:r>
          </w:p>
        </w:tc>
        <w:tc>
          <w:tcPr>
            <w:tcW w:w="1843" w:type="dxa"/>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-Diagnostic sensitivity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-Diagnostic specificity</w:t>
            </w:r>
          </w:p>
        </w:tc>
      </w:tr>
      <w:tr w:rsidR="003D11BA" w:rsidRPr="0027326B" w:rsidTr="00212E31">
        <w:trPr>
          <w:trHeight w:val="758"/>
        </w:trPr>
        <w:tc>
          <w:tcPr>
            <w:tcW w:w="1064" w:type="dxa"/>
            <w:vMerge w:val="restart"/>
            <w:vAlign w:val="center"/>
          </w:tcPr>
          <w:p w:rsidR="003D11BA" w:rsidRPr="0027326B" w:rsidRDefault="003D11BA" w:rsidP="00212E31">
            <w:pPr>
              <w:rPr>
                <w:b/>
                <w:color w:val="000000" w:themeColor="text1"/>
                <w:sz w:val="16"/>
                <w:szCs w:val="16"/>
                <w:lang w:val="en-CA"/>
              </w:rPr>
            </w:pPr>
            <w:r w:rsidRPr="0027326B">
              <w:rPr>
                <w:b/>
                <w:color w:val="000000" w:themeColor="text1"/>
                <w:sz w:val="16"/>
                <w:szCs w:val="16"/>
                <w:lang w:val="en-CA"/>
              </w:rPr>
              <w:t xml:space="preserve">Dutch </w:t>
            </w:r>
          </w:p>
          <w:p w:rsidR="003D11BA" w:rsidRPr="0027326B" w:rsidRDefault="003D11BA" w:rsidP="00212E31">
            <w:pPr>
              <w:rPr>
                <w:b/>
                <w:color w:val="000000" w:themeColor="text1"/>
                <w:sz w:val="16"/>
                <w:szCs w:val="16"/>
                <w:lang w:val="en-CA"/>
              </w:rPr>
            </w:pPr>
            <w:r w:rsidRPr="0027326B">
              <w:rPr>
                <w:b/>
                <w:color w:val="000000" w:themeColor="text1"/>
                <w:sz w:val="16"/>
                <w:szCs w:val="16"/>
                <w:lang w:val="en-CA"/>
              </w:rPr>
              <w:t xml:space="preserve">guidelines </w:t>
            </w:r>
            <w:r>
              <w:rPr>
                <w:b/>
                <w:noProof/>
                <w:color w:val="000000" w:themeColor="text1"/>
                <w:sz w:val="16"/>
                <w:szCs w:val="16"/>
                <w:lang w:val="en-CA"/>
              </w:rPr>
              <w:t>(134)</w:t>
            </w: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 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-intermediate precision/between run </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Trueness/accuracy</w:t>
            </w:r>
          </w:p>
        </w:tc>
        <w:tc>
          <w:tcPr>
            <w:tcW w:w="155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-LOQ</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-Measuring interval</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interferences</w:t>
            </w:r>
          </w:p>
        </w:tc>
        <w:tc>
          <w:tcPr>
            <w:tcW w:w="1251" w:type="dxa"/>
            <w:gridSpan w:val="2"/>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 stability</w:t>
            </w: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-Method comparison suggested to verify trueness/accuracy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-Comparability of results when using different analysers</w:t>
            </w:r>
          </w:p>
          <w:p w:rsidR="003D11BA" w:rsidRPr="0027326B" w:rsidRDefault="003D11BA" w:rsidP="00212E31">
            <w:pPr>
              <w:rPr>
                <w:color w:val="000000" w:themeColor="text1"/>
                <w:sz w:val="16"/>
                <w:szCs w:val="16"/>
                <w:lang w:val="en-CA"/>
              </w:rPr>
            </w:pP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interval/decision limit</w:t>
            </w:r>
          </w:p>
        </w:tc>
        <w:tc>
          <w:tcPr>
            <w:tcW w:w="1843"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 without local experiments</w:t>
            </w:r>
          </w:p>
        </w:tc>
      </w:tr>
      <w:tr w:rsidR="003D11BA" w:rsidRPr="00CA415F" w:rsidTr="00212E31">
        <w:trPr>
          <w:trHeight w:val="921"/>
        </w:trPr>
        <w:tc>
          <w:tcPr>
            <w:tcW w:w="1064" w:type="dxa"/>
            <w:vMerge/>
            <w:vAlign w:val="center"/>
          </w:tcPr>
          <w:p w:rsidR="003D11BA" w:rsidRPr="0027326B" w:rsidRDefault="003D11BA" w:rsidP="00212E31">
            <w:pPr>
              <w:rPr>
                <w:b/>
                <w:color w:val="000000" w:themeColor="text1"/>
                <w:sz w:val="16"/>
                <w:szCs w:val="16"/>
                <w:lang w:val="en-CA"/>
              </w:rPr>
            </w:pP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 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-Intermediate precision/between-run</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Trueness/accuracy</w:t>
            </w:r>
          </w:p>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tc>
        <w:tc>
          <w:tcPr>
            <w:tcW w:w="155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-LOQ</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-linearity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-measuring interval</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-interferences</w:t>
            </w:r>
          </w:p>
        </w:tc>
        <w:tc>
          <w:tcPr>
            <w:tcW w:w="1251" w:type="dxa"/>
            <w:gridSpan w:val="2"/>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-stability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-carry-over</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-matrix effects</w:t>
            </w: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-Method comparison suggested to verify trueness/accuracy</w:t>
            </w:r>
          </w:p>
          <w:p w:rsidR="003D11BA" w:rsidRPr="0027326B" w:rsidRDefault="003D11BA" w:rsidP="00212E31">
            <w:pPr>
              <w:pStyle w:val="NoSpacing"/>
              <w:rPr>
                <w:color w:val="000000" w:themeColor="text1"/>
                <w:lang w:val="en-CA"/>
              </w:rPr>
            </w:pPr>
            <w:r w:rsidRPr="0027326B">
              <w:rPr>
                <w:color w:val="000000" w:themeColor="text1"/>
                <w:lang w:val="en-CA"/>
              </w:rPr>
              <w:t xml:space="preserve"> -</w:t>
            </w:r>
            <w:r w:rsidRPr="0027326B">
              <w:rPr>
                <w:color w:val="000000" w:themeColor="text1"/>
                <w:sz w:val="16"/>
                <w:szCs w:val="16"/>
                <w:lang w:val="en-CA"/>
              </w:rPr>
              <w:t>Comparability of results when using different analysers</w:t>
            </w:r>
          </w:p>
          <w:p w:rsidR="003D11BA" w:rsidRPr="0027326B" w:rsidRDefault="003D11BA" w:rsidP="00212E31">
            <w:pPr>
              <w:rPr>
                <w:color w:val="000000" w:themeColor="text1"/>
                <w:sz w:val="16"/>
                <w:szCs w:val="16"/>
                <w:lang w:val="en-CA"/>
              </w:rPr>
            </w:pP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interval/decision limit</w:t>
            </w:r>
          </w:p>
        </w:tc>
        <w:tc>
          <w:tcPr>
            <w:tcW w:w="1843"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-Diagnostic sensitivity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-Diagnostic specificity</w:t>
            </w:r>
          </w:p>
        </w:tc>
      </w:tr>
      <w:tr w:rsidR="003D11BA" w:rsidRPr="00CA415F" w:rsidTr="00212E31">
        <w:trPr>
          <w:trHeight w:val="758"/>
        </w:trPr>
        <w:tc>
          <w:tcPr>
            <w:tcW w:w="1064" w:type="dxa"/>
            <w:vMerge w:val="restart"/>
            <w:vAlign w:val="center"/>
          </w:tcPr>
          <w:p w:rsidR="003D11BA" w:rsidRPr="0027326B" w:rsidRDefault="003D11BA" w:rsidP="00212E31">
            <w:pPr>
              <w:rPr>
                <w:b/>
                <w:color w:val="000000" w:themeColor="text1"/>
                <w:sz w:val="16"/>
                <w:szCs w:val="16"/>
                <w:lang w:val="en-CA"/>
              </w:rPr>
            </w:pPr>
            <w:r w:rsidRPr="0027326B">
              <w:rPr>
                <w:b/>
                <w:color w:val="000000" w:themeColor="text1"/>
                <w:sz w:val="16"/>
                <w:szCs w:val="16"/>
                <w:lang w:val="en-CA"/>
              </w:rPr>
              <w:t>Belgian</w:t>
            </w:r>
          </w:p>
          <w:p w:rsidR="003D11BA" w:rsidRDefault="003D11BA" w:rsidP="00212E31">
            <w:pPr>
              <w:rPr>
                <w:b/>
                <w:color w:val="000000" w:themeColor="text1"/>
                <w:sz w:val="16"/>
                <w:szCs w:val="16"/>
                <w:lang w:val="en-CA"/>
              </w:rPr>
            </w:pPr>
            <w:r w:rsidRPr="0027326B">
              <w:rPr>
                <w:b/>
                <w:color w:val="000000" w:themeColor="text1"/>
                <w:sz w:val="16"/>
                <w:szCs w:val="16"/>
                <w:lang w:val="en-CA"/>
              </w:rPr>
              <w:t>Guidelines</w:t>
            </w:r>
          </w:p>
          <w:p w:rsidR="003D11BA" w:rsidRPr="0027326B" w:rsidRDefault="003D11BA" w:rsidP="00212E31">
            <w:pPr>
              <w:rPr>
                <w:b/>
                <w:color w:val="000000" w:themeColor="text1"/>
                <w:sz w:val="16"/>
                <w:szCs w:val="16"/>
                <w:lang w:val="en-CA"/>
              </w:rPr>
            </w:pPr>
            <w:r>
              <w:rPr>
                <w:b/>
                <w:noProof/>
                <w:color w:val="000000" w:themeColor="text1"/>
                <w:sz w:val="16"/>
                <w:szCs w:val="16"/>
                <w:lang w:val="en-CA"/>
              </w:rPr>
              <w:t>(142)</w:t>
            </w: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 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Intermediate precision/between run</w:t>
            </w:r>
          </w:p>
          <w:p w:rsidR="003D11BA" w:rsidRPr="0027326B" w:rsidRDefault="003D11BA" w:rsidP="00212E31">
            <w:pPr>
              <w:rPr>
                <w:color w:val="000000" w:themeColor="text1"/>
                <w:sz w:val="16"/>
                <w:szCs w:val="16"/>
                <w:lang w:val="en-CA"/>
              </w:rPr>
            </w:pP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Trueness/accuracy</w:t>
            </w:r>
          </w:p>
        </w:tc>
        <w:tc>
          <w:tcPr>
            <w:tcW w:w="1559" w:type="dxa"/>
            <w:shd w:val="clear" w:color="auto" w:fill="auto"/>
          </w:tcPr>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tc>
        <w:tc>
          <w:tcPr>
            <w:tcW w:w="1276" w:type="dxa"/>
            <w:shd w:val="clear" w:color="auto" w:fill="auto"/>
          </w:tcPr>
          <w:p w:rsidR="003D11BA" w:rsidRPr="0027326B" w:rsidRDefault="003D11BA" w:rsidP="00212E31">
            <w:pPr>
              <w:rPr>
                <w:color w:val="000000" w:themeColor="text1"/>
                <w:sz w:val="16"/>
                <w:szCs w:val="16"/>
                <w:lang w:val="en-CA"/>
              </w:rPr>
            </w:pPr>
          </w:p>
        </w:tc>
        <w:tc>
          <w:tcPr>
            <w:tcW w:w="1251" w:type="dxa"/>
            <w:gridSpan w:val="2"/>
            <w:shd w:val="clear" w:color="auto" w:fill="auto"/>
          </w:tcPr>
          <w:p w:rsidR="003D11BA" w:rsidRPr="0027326B" w:rsidRDefault="003D11BA" w:rsidP="00212E31">
            <w:pPr>
              <w:rPr>
                <w:color w:val="000000" w:themeColor="text1"/>
                <w:sz w:val="16"/>
                <w:szCs w:val="16"/>
                <w:lang w:val="en-CA"/>
              </w:rPr>
            </w:pP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Comparability of results is required  when using methods, apparatus or procedures</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interval/decision limit</w:t>
            </w:r>
          </w:p>
        </w:tc>
        <w:tc>
          <w:tcPr>
            <w:tcW w:w="1843"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No minimal requirements</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Laboratory medicine specialist is responsible for diagnostic performance</w:t>
            </w:r>
          </w:p>
        </w:tc>
      </w:tr>
      <w:tr w:rsidR="003D11BA" w:rsidRPr="00CA415F" w:rsidTr="00212E31">
        <w:trPr>
          <w:trHeight w:val="393"/>
        </w:trPr>
        <w:tc>
          <w:tcPr>
            <w:tcW w:w="1064" w:type="dxa"/>
            <w:vMerge/>
            <w:vAlign w:val="center"/>
          </w:tcPr>
          <w:p w:rsidR="003D11BA" w:rsidRPr="0027326B" w:rsidRDefault="003D11BA" w:rsidP="00212E31">
            <w:pPr>
              <w:rPr>
                <w:b/>
                <w:color w:val="000000" w:themeColor="text1"/>
                <w:sz w:val="16"/>
                <w:szCs w:val="16"/>
                <w:lang w:val="en-CA"/>
              </w:rPr>
            </w:pP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II</w:t>
            </w:r>
          </w:p>
        </w:tc>
        <w:tc>
          <w:tcPr>
            <w:tcW w:w="13608" w:type="dxa"/>
            <w:gridSpan w:val="9"/>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For in-house developed methods a more extensive validation is needed. The laboratory defines the additional parameters to be validated (in addition to the verification parameters). The laboratory  can use the IVD guideline for manufacturers as a guidance</w:t>
            </w:r>
          </w:p>
        </w:tc>
      </w:tr>
      <w:tr w:rsidR="003D11BA" w:rsidRPr="00CA415F" w:rsidTr="00212E31">
        <w:trPr>
          <w:trHeight w:val="1975"/>
        </w:trPr>
        <w:tc>
          <w:tcPr>
            <w:tcW w:w="1064" w:type="dxa"/>
            <w:vMerge w:val="restart"/>
            <w:vAlign w:val="center"/>
          </w:tcPr>
          <w:p w:rsidR="003D11BA" w:rsidRPr="0027326B" w:rsidRDefault="003D11BA" w:rsidP="00212E31">
            <w:pPr>
              <w:rPr>
                <w:b/>
                <w:color w:val="000000" w:themeColor="text1"/>
                <w:sz w:val="16"/>
                <w:szCs w:val="16"/>
                <w:lang w:val="en-CA"/>
              </w:rPr>
            </w:pPr>
            <w:r w:rsidRPr="0027326B">
              <w:rPr>
                <w:b/>
                <w:color w:val="000000" w:themeColor="text1"/>
                <w:sz w:val="16"/>
                <w:szCs w:val="16"/>
                <w:lang w:val="en-CA"/>
              </w:rPr>
              <w:t xml:space="preserve">French </w:t>
            </w:r>
          </w:p>
          <w:p w:rsidR="003D11BA" w:rsidRPr="0027326B" w:rsidRDefault="003D11BA" w:rsidP="00212E31">
            <w:pPr>
              <w:rPr>
                <w:b/>
                <w:color w:val="000000" w:themeColor="text1"/>
                <w:sz w:val="16"/>
                <w:szCs w:val="16"/>
                <w:lang w:val="en-CA"/>
              </w:rPr>
            </w:pPr>
            <w:r w:rsidRPr="0027326B">
              <w:rPr>
                <w:b/>
                <w:color w:val="000000" w:themeColor="text1"/>
                <w:sz w:val="16"/>
                <w:szCs w:val="16"/>
                <w:lang w:val="en-CA"/>
              </w:rPr>
              <w:t>Guidelines</w:t>
            </w:r>
            <w:r>
              <w:rPr>
                <w:b/>
                <w:color w:val="000000" w:themeColor="text1"/>
                <w:sz w:val="16"/>
                <w:szCs w:val="16"/>
                <w:lang w:val="en-CA"/>
              </w:rPr>
              <w:t xml:space="preserve"> </w:t>
            </w:r>
            <w:r>
              <w:rPr>
                <w:b/>
                <w:noProof/>
                <w:color w:val="000000" w:themeColor="text1"/>
                <w:sz w:val="16"/>
                <w:szCs w:val="16"/>
                <w:lang w:val="en-CA"/>
              </w:rPr>
              <w:t>(120, 147)</w:t>
            </w: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 in-house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 run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Intermediate precision/between run</w:t>
            </w:r>
          </w:p>
          <w:p w:rsidR="003D11BA" w:rsidRPr="00020914" w:rsidRDefault="003D11BA" w:rsidP="00212E31">
            <w:pPr>
              <w:rPr>
                <w:color w:val="000000" w:themeColor="text1"/>
                <w:sz w:val="16"/>
                <w:szCs w:val="16"/>
                <w:lang w:val="en-CA"/>
              </w:rPr>
            </w:pPr>
            <w:r w:rsidRPr="00020914">
              <w:rPr>
                <w:color w:val="000000" w:themeColor="text1"/>
                <w:sz w:val="16"/>
                <w:szCs w:val="16"/>
                <w:lang w:val="en-CA"/>
              </w:rPr>
              <w:t>-measurement uncertainty</w:t>
            </w:r>
          </w:p>
          <w:p w:rsidR="003D11BA" w:rsidRPr="0027326B" w:rsidRDefault="003D11BA" w:rsidP="00212E31">
            <w:pPr>
              <w:rPr>
                <w:i/>
                <w:color w:val="000000" w:themeColor="text1"/>
                <w:sz w:val="16"/>
                <w:szCs w:val="16"/>
                <w:lang w:val="en-CA"/>
              </w:rPr>
            </w:pP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 in-house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Trueness/accuracy</w:t>
            </w:r>
          </w:p>
          <w:p w:rsidR="003D11BA" w:rsidRPr="0027326B" w:rsidRDefault="003D11BA" w:rsidP="00212E31">
            <w:pPr>
              <w:rPr>
                <w:i/>
                <w:color w:val="000000" w:themeColor="text1"/>
                <w:sz w:val="16"/>
                <w:szCs w:val="16"/>
                <w:lang w:val="en-CA"/>
              </w:rPr>
            </w:pPr>
          </w:p>
        </w:tc>
        <w:tc>
          <w:tcPr>
            <w:tcW w:w="1559" w:type="dxa"/>
            <w:shd w:val="clear" w:color="auto" w:fill="auto"/>
          </w:tcPr>
          <w:p w:rsidR="003D11BA" w:rsidRPr="0027326B" w:rsidRDefault="003D11BA" w:rsidP="00212E31">
            <w:pPr>
              <w:rPr>
                <w:i/>
                <w:color w:val="000000" w:themeColor="text1"/>
                <w:sz w:val="16"/>
                <w:szCs w:val="16"/>
                <w:lang w:val="en-CA"/>
              </w:rPr>
            </w:pPr>
            <w:r w:rsidRPr="0027326B">
              <w:rPr>
                <w:color w:val="000000" w:themeColor="text1"/>
                <w:sz w:val="16"/>
                <w:szCs w:val="16"/>
                <w:lang w:val="en-CA"/>
              </w:rPr>
              <w:t>Refer to manufacturer/literature: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-LOQ</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-Linearity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-measuring interval </w:t>
            </w:r>
          </w:p>
          <w:p w:rsidR="003D11BA" w:rsidRPr="0027326B" w:rsidRDefault="003D11BA" w:rsidP="00212E31">
            <w:pPr>
              <w:rPr>
                <w:color w:val="000000" w:themeColor="text1"/>
                <w:sz w:val="16"/>
                <w:szCs w:val="16"/>
                <w:lang w:val="en-CA"/>
              </w:rPr>
            </w:pP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 xml:space="preserve">Verify in house if relevant </w:t>
            </w:r>
          </w:p>
        </w:tc>
        <w:tc>
          <w:tcPr>
            <w:tcW w:w="1418" w:type="dxa"/>
            <w:gridSpan w:val="2"/>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Refer</w:t>
            </w:r>
            <w:r w:rsidRPr="0027326B">
              <w:rPr>
                <w:i/>
                <w:color w:val="000000" w:themeColor="text1"/>
                <w:sz w:val="16"/>
                <w:szCs w:val="16"/>
                <w:lang w:val="en-CA"/>
              </w:rPr>
              <w:t xml:space="preserve"> </w:t>
            </w:r>
            <w:r w:rsidRPr="0027326B">
              <w:rPr>
                <w:color w:val="000000" w:themeColor="text1"/>
                <w:sz w:val="16"/>
                <w:szCs w:val="16"/>
                <w:lang w:val="en-CA"/>
              </w:rPr>
              <w:t>to  manufacturer/literature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interferences</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(hemolysis, turbidity, bilirubin, drugs) </w:t>
            </w:r>
          </w:p>
          <w:p w:rsidR="003D11BA" w:rsidRPr="0027326B" w:rsidRDefault="003D11BA" w:rsidP="00212E31">
            <w:pPr>
              <w:rPr>
                <w:color w:val="000000" w:themeColor="text1"/>
                <w:sz w:val="16"/>
                <w:szCs w:val="16"/>
                <w:lang w:val="en-CA"/>
              </w:rPr>
            </w:pP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 xml:space="preserve">Verify in house if relevant </w:t>
            </w:r>
          </w:p>
        </w:tc>
        <w:tc>
          <w:tcPr>
            <w:tcW w:w="110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Refer</w:t>
            </w:r>
            <w:r w:rsidRPr="0027326B">
              <w:rPr>
                <w:i/>
                <w:color w:val="000000" w:themeColor="text1"/>
                <w:sz w:val="16"/>
                <w:szCs w:val="16"/>
                <w:lang w:val="en-CA"/>
              </w:rPr>
              <w:t xml:space="preserve"> </w:t>
            </w:r>
            <w:r w:rsidRPr="0027326B">
              <w:rPr>
                <w:color w:val="000000" w:themeColor="text1"/>
                <w:sz w:val="16"/>
                <w:szCs w:val="16"/>
                <w:lang w:val="en-CA"/>
              </w:rPr>
              <w:t>to  manufacturer/literature: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-Carry-over</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-robustness</w:t>
            </w:r>
          </w:p>
          <w:p w:rsidR="003D11BA" w:rsidRPr="0027326B" w:rsidRDefault="003D11BA" w:rsidP="00212E31">
            <w:pPr>
              <w:rPr>
                <w:color w:val="000000" w:themeColor="text1"/>
                <w:sz w:val="16"/>
                <w:szCs w:val="16"/>
                <w:lang w:val="en-CA"/>
              </w:rPr>
            </w:pP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 xml:space="preserve">Verify in house if relevant </w:t>
            </w: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-In house method comparison with method already in use is required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-Comparability of results when using different analysers </w:t>
            </w:r>
          </w:p>
          <w:p w:rsidR="003D11BA" w:rsidRPr="0027326B" w:rsidRDefault="003D11BA" w:rsidP="00212E31">
            <w:pPr>
              <w:rPr>
                <w:i/>
                <w:color w:val="000000" w:themeColor="text1"/>
                <w:sz w:val="16"/>
                <w:szCs w:val="16"/>
                <w:lang w:val="en-CA"/>
              </w:rPr>
            </w:pP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Refer to  manufacturer/literature:</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but verify with local situation:</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interval</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-cut-off values</w:t>
            </w:r>
          </w:p>
          <w:p w:rsidR="003D11BA" w:rsidRPr="0027326B" w:rsidRDefault="003D11BA" w:rsidP="00212E31">
            <w:pPr>
              <w:rPr>
                <w:i/>
                <w:color w:val="000000" w:themeColor="text1"/>
                <w:sz w:val="16"/>
                <w:szCs w:val="16"/>
                <w:lang w:val="en-CA"/>
              </w:rPr>
            </w:pPr>
          </w:p>
        </w:tc>
        <w:tc>
          <w:tcPr>
            <w:tcW w:w="1843"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Laboratory medicine specialist is responsible for diagnostic performance</w:t>
            </w:r>
          </w:p>
        </w:tc>
      </w:tr>
      <w:tr w:rsidR="003D11BA" w:rsidRPr="0027326B" w:rsidTr="00212E31">
        <w:trPr>
          <w:trHeight w:val="1536"/>
        </w:trPr>
        <w:tc>
          <w:tcPr>
            <w:tcW w:w="1064" w:type="dxa"/>
            <w:vMerge/>
            <w:vAlign w:val="center"/>
          </w:tcPr>
          <w:p w:rsidR="003D11BA" w:rsidRPr="0027326B" w:rsidRDefault="003D11BA" w:rsidP="00212E31">
            <w:pPr>
              <w:rPr>
                <w:b/>
                <w:color w:val="000000" w:themeColor="text1"/>
                <w:sz w:val="16"/>
                <w:szCs w:val="16"/>
                <w:lang w:val="en-CA"/>
              </w:rPr>
            </w:pP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-Repeatability/within run</w:t>
            </w:r>
          </w:p>
          <w:p w:rsidR="003D11BA" w:rsidRPr="00003AD5" w:rsidRDefault="003D11BA" w:rsidP="00212E31">
            <w:pPr>
              <w:rPr>
                <w:color w:val="000000" w:themeColor="text1"/>
                <w:sz w:val="16"/>
                <w:szCs w:val="16"/>
                <w:lang w:val="en-CA"/>
              </w:rPr>
            </w:pPr>
            <w:r w:rsidRPr="0027326B">
              <w:rPr>
                <w:color w:val="000000" w:themeColor="text1"/>
                <w:sz w:val="16"/>
                <w:szCs w:val="16"/>
                <w:lang w:val="en-CA"/>
              </w:rPr>
              <w:t xml:space="preserve">- Intermediate </w:t>
            </w:r>
            <w:r w:rsidRPr="00003AD5">
              <w:rPr>
                <w:color w:val="000000" w:themeColor="text1"/>
                <w:sz w:val="16"/>
                <w:szCs w:val="16"/>
                <w:lang w:val="en-CA"/>
              </w:rPr>
              <w:t>precision/between run</w:t>
            </w:r>
          </w:p>
          <w:p w:rsidR="003D11BA" w:rsidRPr="0027326B" w:rsidRDefault="003D11BA" w:rsidP="00212E31">
            <w:pPr>
              <w:rPr>
                <w:color w:val="000000" w:themeColor="text1"/>
                <w:sz w:val="16"/>
                <w:szCs w:val="16"/>
                <w:highlight w:val="yellow"/>
                <w:lang w:val="en-CA"/>
              </w:rPr>
            </w:pPr>
            <w:r w:rsidRPr="00003AD5">
              <w:rPr>
                <w:color w:val="000000" w:themeColor="text1"/>
                <w:sz w:val="16"/>
                <w:szCs w:val="16"/>
                <w:lang w:val="en-CA"/>
              </w:rPr>
              <w:t>-measurement</w:t>
            </w:r>
            <w:r w:rsidRPr="00020914">
              <w:rPr>
                <w:color w:val="000000" w:themeColor="text1"/>
                <w:sz w:val="16"/>
                <w:szCs w:val="16"/>
                <w:lang w:val="en-CA"/>
              </w:rPr>
              <w:t xml:space="preserve"> uncertainty</w:t>
            </w:r>
          </w:p>
          <w:p w:rsidR="003D11BA" w:rsidRPr="0027326B" w:rsidRDefault="003D11BA" w:rsidP="00212E31">
            <w:pPr>
              <w:rPr>
                <w:color w:val="000000" w:themeColor="text1"/>
                <w:sz w:val="16"/>
                <w:szCs w:val="16"/>
                <w:lang w:val="en-CA"/>
              </w:rPr>
            </w:pP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-Trueness/Accuracy</w:t>
            </w:r>
          </w:p>
          <w:p w:rsidR="003D11BA" w:rsidRPr="0027326B" w:rsidRDefault="003D11BA" w:rsidP="00212E31">
            <w:pPr>
              <w:rPr>
                <w:i/>
                <w:color w:val="000000" w:themeColor="text1"/>
                <w:sz w:val="16"/>
                <w:szCs w:val="16"/>
                <w:lang w:val="en-CA"/>
              </w:rPr>
            </w:pPr>
          </w:p>
        </w:tc>
        <w:tc>
          <w:tcPr>
            <w:tcW w:w="155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-LOD</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-LOQ</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-Linearity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-measuring interval</w:t>
            </w:r>
          </w:p>
          <w:p w:rsidR="003D11BA" w:rsidRPr="0027326B" w:rsidRDefault="003D11BA" w:rsidP="00212E31">
            <w:pPr>
              <w:rPr>
                <w:i/>
                <w:color w:val="000000" w:themeColor="text1"/>
                <w:sz w:val="16"/>
                <w:szCs w:val="16"/>
                <w:lang w:val="en-CA"/>
              </w:rPr>
            </w:pPr>
          </w:p>
        </w:tc>
        <w:tc>
          <w:tcPr>
            <w:tcW w:w="1418" w:type="dxa"/>
            <w:gridSpan w:val="2"/>
            <w:shd w:val="clear" w:color="auto" w:fill="auto"/>
          </w:tcPr>
          <w:p w:rsidR="003D11BA" w:rsidRPr="0027326B" w:rsidRDefault="003D11BA" w:rsidP="00212E31">
            <w:pPr>
              <w:rPr>
                <w:i/>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-Interferences</w:t>
            </w:r>
          </w:p>
          <w:p w:rsidR="003D11BA" w:rsidRPr="0027326B" w:rsidRDefault="003D11BA" w:rsidP="00212E31">
            <w:pPr>
              <w:rPr>
                <w:color w:val="000000" w:themeColor="text1"/>
                <w:sz w:val="16"/>
                <w:szCs w:val="16"/>
                <w:lang w:val="en-CA"/>
              </w:rPr>
            </w:pPr>
          </w:p>
        </w:tc>
        <w:tc>
          <w:tcPr>
            <w:tcW w:w="110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-Carry-over</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-robustness</w:t>
            </w:r>
          </w:p>
          <w:p w:rsidR="003D11BA" w:rsidRPr="0027326B" w:rsidRDefault="003D11BA" w:rsidP="00212E31">
            <w:pPr>
              <w:rPr>
                <w:color w:val="000000" w:themeColor="text1"/>
                <w:sz w:val="16"/>
                <w:szCs w:val="16"/>
                <w:lang w:val="en-CA"/>
              </w:rPr>
            </w:pP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Method comparison with method already in use or mirror method is required</w:t>
            </w:r>
          </w:p>
          <w:p w:rsidR="003D11BA" w:rsidRPr="0027326B" w:rsidRDefault="003D11BA" w:rsidP="00212E31">
            <w:pPr>
              <w:rPr>
                <w:color w:val="000000" w:themeColor="text1"/>
                <w:sz w:val="16"/>
                <w:szCs w:val="16"/>
                <w:lang w:val="en-CA"/>
              </w:rPr>
            </w:pP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 reference interval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-cut-off values</w:t>
            </w:r>
          </w:p>
          <w:p w:rsidR="003D11BA" w:rsidRPr="0027326B" w:rsidRDefault="003D11BA" w:rsidP="00212E31">
            <w:pPr>
              <w:rPr>
                <w:color w:val="000000" w:themeColor="text1"/>
                <w:sz w:val="16"/>
                <w:szCs w:val="16"/>
                <w:lang w:val="en-CA"/>
              </w:rPr>
            </w:pPr>
          </w:p>
        </w:tc>
        <w:tc>
          <w:tcPr>
            <w:tcW w:w="1843"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 diagnostic accuracy</w:t>
            </w:r>
          </w:p>
        </w:tc>
      </w:tr>
      <w:tr w:rsidR="003D11BA" w:rsidRPr="00CA415F" w:rsidTr="00212E31">
        <w:trPr>
          <w:trHeight w:val="1517"/>
        </w:trPr>
        <w:tc>
          <w:tcPr>
            <w:tcW w:w="1064" w:type="dxa"/>
            <w:vMerge w:val="restart"/>
            <w:vAlign w:val="center"/>
          </w:tcPr>
          <w:p w:rsidR="003D11BA" w:rsidRPr="0027326B" w:rsidRDefault="003D11BA" w:rsidP="00212E31">
            <w:pPr>
              <w:rPr>
                <w:b/>
                <w:color w:val="000000" w:themeColor="text1"/>
                <w:sz w:val="16"/>
                <w:szCs w:val="16"/>
                <w:lang w:val="en-CA"/>
              </w:rPr>
            </w:pPr>
            <w:r w:rsidRPr="0027326B">
              <w:rPr>
                <w:b/>
                <w:color w:val="000000" w:themeColor="text1"/>
                <w:sz w:val="16"/>
                <w:szCs w:val="16"/>
                <w:lang w:val="en-CA"/>
              </w:rPr>
              <w:t xml:space="preserve">American CAP guidelines </w:t>
            </w:r>
            <w:r>
              <w:rPr>
                <w:b/>
                <w:noProof/>
                <w:color w:val="000000" w:themeColor="text1"/>
                <w:sz w:val="16"/>
                <w:szCs w:val="16"/>
                <w:lang w:val="en-CA"/>
              </w:rPr>
              <w:t>(128, 133)</w:t>
            </w:r>
            <w:r w:rsidRPr="0027326B">
              <w:rPr>
                <w:b/>
                <w:color w:val="000000" w:themeColor="text1"/>
                <w:sz w:val="16"/>
                <w:szCs w:val="16"/>
                <w:lang w:val="en-CA"/>
              </w:rPr>
              <w:t>*</w:t>
            </w: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w:t>
            </w: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 Intermediate precision (on 2-3 samples at clinical decision points 5 days)*</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w:t>
            </w: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-Accuracy on 20-40 samples* across measuring  interval</w:t>
            </w:r>
          </w:p>
        </w:tc>
        <w:tc>
          <w:tcPr>
            <w:tcW w:w="155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analytical sensitivity</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-Linearity ‘light’</w:t>
            </w: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reportable range for at least 3 points (low end/midpoint/high end)</w:t>
            </w:r>
          </w:p>
        </w:tc>
        <w:tc>
          <w:tcPr>
            <w:tcW w:w="1418" w:type="dxa"/>
            <w:gridSpan w:val="2"/>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Verify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analytical specificity (incl. interference) </w:t>
            </w:r>
          </w:p>
        </w:tc>
        <w:tc>
          <w:tcPr>
            <w:tcW w:w="1109" w:type="dxa"/>
            <w:shd w:val="clear" w:color="auto" w:fill="auto"/>
          </w:tcPr>
          <w:p w:rsidR="003D11BA" w:rsidRPr="0027326B" w:rsidRDefault="003D11BA" w:rsidP="00212E31">
            <w:pPr>
              <w:pStyle w:val="ListParagraph"/>
              <w:rPr>
                <w:color w:val="000000" w:themeColor="text1"/>
                <w:sz w:val="16"/>
                <w:szCs w:val="16"/>
                <w:lang w:val="en-CA"/>
              </w:rPr>
            </w:pP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In case valid reference range available, method comparison can be used to establish the reference range (transference by calculation)</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Verify if practical</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range (on 20 samples)*</w:t>
            </w:r>
          </w:p>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tc>
        <w:tc>
          <w:tcPr>
            <w:tcW w:w="1843" w:type="dxa"/>
            <w:vMerge w:val="restart"/>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Clinical claims included in the manufacturer’s instructions: no verification required</w:t>
            </w:r>
          </w:p>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r w:rsidRPr="0027326B">
              <w:rPr>
                <w:color w:val="000000" w:themeColor="text1"/>
                <w:sz w:val="16"/>
                <w:szCs w:val="16"/>
                <w:lang w:val="en-CA"/>
              </w:rPr>
              <w:t>Laboratories are not obliged to make clinical claims. If they do, they can refer to the manufacturer. In general the laboratory should validate ‘new’ claims through a clinical study, on at least 20 samples both positives and negatives.</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but for rare conditions or well-accepted uses of a test, a reference to published peer-reviewed literature is acceptable.</w:t>
            </w:r>
          </w:p>
          <w:p w:rsidR="003D11BA" w:rsidRPr="0027326B" w:rsidRDefault="003D11BA" w:rsidP="00212E31">
            <w:pPr>
              <w:rPr>
                <w:color w:val="000000" w:themeColor="text1"/>
                <w:sz w:val="16"/>
                <w:szCs w:val="16"/>
                <w:lang w:val="en-CA"/>
              </w:rPr>
            </w:pPr>
          </w:p>
        </w:tc>
      </w:tr>
      <w:tr w:rsidR="003D11BA" w:rsidRPr="00CA415F" w:rsidTr="00212E31">
        <w:trPr>
          <w:trHeight w:val="1517"/>
        </w:trPr>
        <w:tc>
          <w:tcPr>
            <w:tcW w:w="1064" w:type="dxa"/>
            <w:vMerge/>
            <w:vAlign w:val="center"/>
          </w:tcPr>
          <w:p w:rsidR="003D11BA" w:rsidRPr="0027326B" w:rsidRDefault="003D11BA" w:rsidP="00212E31">
            <w:pPr>
              <w:rPr>
                <w:b/>
                <w:color w:val="000000" w:themeColor="text1"/>
                <w:sz w:val="16"/>
                <w:szCs w:val="16"/>
                <w:lang w:val="en-CA"/>
              </w:rPr>
            </w:pPr>
          </w:p>
        </w:tc>
        <w:tc>
          <w:tcPr>
            <w:tcW w:w="349" w:type="dxa"/>
          </w:tcPr>
          <w:p w:rsidR="003D11BA" w:rsidRPr="0027326B" w:rsidRDefault="003D11BA" w:rsidP="00212E31">
            <w:pPr>
              <w:rPr>
                <w:color w:val="000000" w:themeColor="text1"/>
                <w:sz w:val="16"/>
                <w:szCs w:val="16"/>
                <w:lang w:val="en-CA"/>
              </w:rPr>
            </w:pPr>
            <w:r>
              <w:rPr>
                <w:color w:val="000000" w:themeColor="text1"/>
                <w:sz w:val="16"/>
                <w:szCs w:val="16"/>
                <w:lang w:val="en-CA"/>
              </w:rPr>
              <w:t>II</w:t>
            </w: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Intermediate precision (20 days)</w:t>
            </w:r>
          </w:p>
        </w:tc>
        <w:tc>
          <w:tcPr>
            <w:tcW w:w="1276"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Accuracy on minimally 40 samples*</w:t>
            </w:r>
            <w:r w:rsidRPr="0027326B">
              <w:rPr>
                <w:i/>
                <w:color w:val="000000" w:themeColor="text1"/>
                <w:sz w:val="16"/>
                <w:szCs w:val="16"/>
                <w:lang w:val="en-CA"/>
              </w:rPr>
              <w:t xml:space="preserve"> </w:t>
            </w:r>
            <w:r w:rsidRPr="0027326B">
              <w:rPr>
                <w:color w:val="000000" w:themeColor="text1"/>
                <w:sz w:val="16"/>
                <w:szCs w:val="16"/>
                <w:lang w:val="en-CA"/>
              </w:rPr>
              <w:t>across measuring  interval</w:t>
            </w:r>
          </w:p>
        </w:tc>
        <w:tc>
          <w:tcPr>
            <w:tcW w:w="1559"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analytical sensitivity</w:t>
            </w:r>
          </w:p>
          <w:p w:rsidR="003D11BA" w:rsidRPr="0027326B" w:rsidRDefault="003D11BA" w:rsidP="00212E31">
            <w:pPr>
              <w:rPr>
                <w:i/>
                <w:color w:val="000000" w:themeColor="text1"/>
                <w:sz w:val="16"/>
                <w:szCs w:val="16"/>
                <w:lang w:val="en-CA"/>
              </w:rPr>
            </w:pPr>
            <w:r w:rsidRPr="0027326B">
              <w:rPr>
                <w:color w:val="000000" w:themeColor="text1"/>
                <w:sz w:val="16"/>
                <w:szCs w:val="16"/>
                <w:lang w:val="en-CA"/>
              </w:rPr>
              <w:t>-reportable range range for at least 3 points (low end/midpoint/high end)</w:t>
            </w:r>
          </w:p>
        </w:tc>
        <w:tc>
          <w:tcPr>
            <w:tcW w:w="1418" w:type="dxa"/>
            <w:gridSpan w:val="2"/>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Establish </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analytical specificity (incl. interference) </w:t>
            </w:r>
          </w:p>
        </w:tc>
        <w:tc>
          <w:tcPr>
            <w:tcW w:w="1109" w:type="dxa"/>
            <w:shd w:val="clear" w:color="auto" w:fill="auto"/>
          </w:tcPr>
          <w:p w:rsidR="003D11BA" w:rsidRPr="0027326B" w:rsidRDefault="003D11BA" w:rsidP="00212E31">
            <w:pPr>
              <w:pStyle w:val="ListParagraph"/>
              <w:rPr>
                <w:color w:val="000000" w:themeColor="text1"/>
                <w:sz w:val="16"/>
                <w:szCs w:val="16"/>
                <w:lang w:val="en-CA"/>
              </w:rPr>
            </w:pPr>
          </w:p>
        </w:tc>
        <w:tc>
          <w:tcPr>
            <w:tcW w:w="2435"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In case valid reference range available, method comparison can be used to establish the reference range (transference by calculation)</w:t>
            </w:r>
          </w:p>
          <w:p w:rsidR="003D11BA" w:rsidRPr="0027326B" w:rsidRDefault="003D11BA" w:rsidP="00212E31">
            <w:pPr>
              <w:rPr>
                <w:color w:val="000000" w:themeColor="text1"/>
                <w:sz w:val="16"/>
                <w:szCs w:val="16"/>
                <w:lang w:val="en-CA"/>
              </w:rPr>
            </w:pPr>
          </w:p>
        </w:tc>
        <w:tc>
          <w:tcPr>
            <w:tcW w:w="1984" w:type="dxa"/>
            <w:shd w:val="clear" w:color="auto" w:fill="auto"/>
          </w:tcPr>
          <w:p w:rsidR="003D11BA" w:rsidRPr="0027326B" w:rsidRDefault="003D11BA" w:rsidP="00212E31">
            <w:pPr>
              <w:rPr>
                <w:color w:val="000000" w:themeColor="text1"/>
                <w:sz w:val="16"/>
                <w:szCs w:val="16"/>
                <w:lang w:val="en-CA"/>
              </w:rPr>
            </w:pPr>
            <w:r w:rsidRPr="0027326B">
              <w:rPr>
                <w:color w:val="000000" w:themeColor="text1"/>
                <w:sz w:val="16"/>
                <w:szCs w:val="16"/>
                <w:lang w:val="en-CA"/>
              </w:rPr>
              <w:t>Establish if practical</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reference range (minimally on 40-60 samples)*</w:t>
            </w:r>
          </w:p>
          <w:p w:rsidR="003D11BA" w:rsidRPr="0027326B" w:rsidRDefault="003D11BA" w:rsidP="00212E31">
            <w:pPr>
              <w:rPr>
                <w:color w:val="000000" w:themeColor="text1"/>
                <w:sz w:val="16"/>
                <w:szCs w:val="16"/>
                <w:lang w:val="en-CA"/>
              </w:rPr>
            </w:pPr>
            <w:r w:rsidRPr="0027326B">
              <w:rPr>
                <w:color w:val="000000" w:themeColor="text1"/>
                <w:sz w:val="16"/>
                <w:szCs w:val="16"/>
                <w:lang w:val="en-CA"/>
              </w:rPr>
              <w:t xml:space="preserve">If not practical: evaluate the use of published/manufacturer’s data </w:t>
            </w:r>
          </w:p>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p w:rsidR="003D11BA" w:rsidRPr="0027326B" w:rsidRDefault="003D11BA" w:rsidP="00212E31">
            <w:pPr>
              <w:rPr>
                <w:color w:val="000000" w:themeColor="text1"/>
                <w:sz w:val="16"/>
                <w:szCs w:val="16"/>
                <w:lang w:val="en-CA"/>
              </w:rPr>
            </w:pPr>
          </w:p>
        </w:tc>
        <w:tc>
          <w:tcPr>
            <w:tcW w:w="1843" w:type="dxa"/>
            <w:vMerge/>
            <w:shd w:val="clear" w:color="auto" w:fill="auto"/>
          </w:tcPr>
          <w:p w:rsidR="003D11BA" w:rsidRPr="0027326B" w:rsidRDefault="003D11BA" w:rsidP="00212E31">
            <w:pPr>
              <w:rPr>
                <w:color w:val="000000" w:themeColor="text1"/>
                <w:sz w:val="16"/>
                <w:szCs w:val="16"/>
                <w:lang w:val="en-CA"/>
              </w:rPr>
            </w:pPr>
          </w:p>
        </w:tc>
      </w:tr>
    </w:tbl>
    <w:p w:rsidR="003D11BA" w:rsidRPr="0027326B" w:rsidRDefault="003D11BA" w:rsidP="00212E31">
      <w:pPr>
        <w:ind w:left="142"/>
        <w:rPr>
          <w:color w:val="000000" w:themeColor="text1"/>
          <w:sz w:val="18"/>
          <w:szCs w:val="18"/>
          <w:lang w:val="en-CA"/>
        </w:rPr>
      </w:pPr>
      <w:r w:rsidRPr="0027326B">
        <w:rPr>
          <w:color w:val="000000" w:themeColor="text1"/>
          <w:sz w:val="18"/>
          <w:szCs w:val="18"/>
          <w:lang w:val="en-CA"/>
        </w:rPr>
        <w:t>*the number of sample is only for guidance</w:t>
      </w:r>
    </w:p>
    <w:p w:rsidR="003D11BA" w:rsidRDefault="003D11BA" w:rsidP="00212E31">
      <w:pPr>
        <w:ind w:left="142"/>
        <w:rPr>
          <w:sz w:val="18"/>
          <w:szCs w:val="18"/>
          <w:lang w:val="en-CA"/>
        </w:rPr>
      </w:pPr>
    </w:p>
    <w:p w:rsidR="003D11BA" w:rsidRDefault="003D11BA" w:rsidP="00212E31">
      <w:pPr>
        <w:ind w:left="284"/>
        <w:jc w:val="both"/>
        <w:rPr>
          <w:b/>
          <w:sz w:val="16"/>
          <w:szCs w:val="16"/>
          <w:u w:val="single"/>
          <w:lang w:val="en-CA"/>
        </w:rPr>
      </w:pPr>
    </w:p>
    <w:p w:rsidR="003D11BA" w:rsidRDefault="003D11BA" w:rsidP="00212E31">
      <w:pPr>
        <w:ind w:left="284"/>
        <w:jc w:val="both"/>
        <w:rPr>
          <w:color w:val="FF0000"/>
          <w:sz w:val="16"/>
          <w:szCs w:val="16"/>
          <w:lang w:val="en-US"/>
        </w:rPr>
      </w:pPr>
    </w:p>
    <w:p w:rsidR="003D11BA" w:rsidRDefault="003D11BA" w:rsidP="00212E31">
      <w:pPr>
        <w:ind w:left="284"/>
        <w:jc w:val="both"/>
        <w:rPr>
          <w:color w:val="FF0000"/>
          <w:sz w:val="16"/>
          <w:szCs w:val="16"/>
          <w:lang w:val="en-US"/>
        </w:rPr>
      </w:pPr>
    </w:p>
    <w:p w:rsidR="003D11BA" w:rsidRDefault="003D11BA" w:rsidP="00212E31">
      <w:pPr>
        <w:ind w:left="284"/>
        <w:jc w:val="both"/>
        <w:rPr>
          <w:color w:val="FF0000"/>
          <w:sz w:val="16"/>
          <w:szCs w:val="16"/>
          <w:lang w:val="en-US"/>
        </w:rPr>
      </w:pPr>
    </w:p>
    <w:p w:rsidR="003D11BA" w:rsidRDefault="003D11BA" w:rsidP="00212E31">
      <w:pPr>
        <w:ind w:left="284"/>
        <w:jc w:val="both"/>
        <w:rPr>
          <w:color w:val="FF0000"/>
          <w:sz w:val="16"/>
          <w:szCs w:val="16"/>
          <w:lang w:val="en-US"/>
        </w:rPr>
      </w:pPr>
    </w:p>
    <w:p w:rsidR="003D11BA" w:rsidRPr="00020914" w:rsidRDefault="003D11BA" w:rsidP="00212E31">
      <w:pPr>
        <w:ind w:left="284"/>
        <w:jc w:val="both"/>
        <w:rPr>
          <w:color w:val="FF0000"/>
          <w:sz w:val="16"/>
          <w:szCs w:val="16"/>
          <w:lang w:val="en-US"/>
        </w:rPr>
      </w:pPr>
    </w:p>
    <w:p w:rsidR="003D11BA" w:rsidRPr="0037189F" w:rsidRDefault="003D11BA" w:rsidP="00212E31">
      <w:pPr>
        <w:rPr>
          <w:b/>
          <w:color w:val="000000" w:themeColor="text1"/>
          <w:lang w:val="en-CA"/>
        </w:rPr>
      </w:pPr>
      <w:r w:rsidRPr="0037189F">
        <w:rPr>
          <w:b/>
          <w:color w:val="000000" w:themeColor="text1"/>
          <w:lang w:val="en-CA"/>
        </w:rPr>
        <w:lastRenderedPageBreak/>
        <w:t xml:space="preserve">Table 2B. Published guidelines on  autoantibody/ANA testing: details on method verification </w:t>
      </w:r>
    </w:p>
    <w:tbl>
      <w:tblPr>
        <w:tblStyle w:val="TableGrid"/>
        <w:tblW w:w="14454" w:type="dxa"/>
        <w:tblInd w:w="-289" w:type="dxa"/>
        <w:tblLayout w:type="fixed"/>
        <w:tblLook w:val="04A0" w:firstRow="1" w:lastRow="0" w:firstColumn="1" w:lastColumn="0" w:noHBand="0" w:noVBand="1"/>
      </w:tblPr>
      <w:tblGrid>
        <w:gridCol w:w="1129"/>
        <w:gridCol w:w="1560"/>
        <w:gridCol w:w="1417"/>
        <w:gridCol w:w="1134"/>
        <w:gridCol w:w="3827"/>
        <w:gridCol w:w="2268"/>
        <w:gridCol w:w="3119"/>
      </w:tblGrid>
      <w:tr w:rsidR="003D11BA" w:rsidTr="00212E31">
        <w:tc>
          <w:tcPr>
            <w:tcW w:w="1129" w:type="dxa"/>
          </w:tcPr>
          <w:p w:rsidR="003D11BA" w:rsidRDefault="003D11BA" w:rsidP="00212E31">
            <w:pPr>
              <w:rPr>
                <w:lang w:val="en-CA"/>
              </w:rPr>
            </w:pPr>
          </w:p>
        </w:tc>
        <w:tc>
          <w:tcPr>
            <w:tcW w:w="1560" w:type="dxa"/>
            <w:shd w:val="clear" w:color="auto" w:fill="D0CECE" w:themeFill="background2" w:themeFillShade="E6"/>
          </w:tcPr>
          <w:p w:rsidR="003D11BA" w:rsidRPr="00146F0F" w:rsidRDefault="003D11BA" w:rsidP="00212E31">
            <w:pPr>
              <w:rPr>
                <w:b/>
                <w:sz w:val="16"/>
                <w:szCs w:val="16"/>
                <w:lang w:val="en-CA"/>
              </w:rPr>
            </w:pPr>
            <w:r w:rsidRPr="00146F0F">
              <w:rPr>
                <w:b/>
                <w:sz w:val="16"/>
                <w:szCs w:val="16"/>
                <w:lang w:val="en-CA"/>
              </w:rPr>
              <w:t xml:space="preserve">German guidelines </w:t>
            </w:r>
          </w:p>
          <w:p w:rsidR="003D11BA" w:rsidRPr="007D0095" w:rsidRDefault="003D11BA" w:rsidP="00212E31">
            <w:pPr>
              <w:rPr>
                <w:b/>
                <w:sz w:val="16"/>
                <w:szCs w:val="16"/>
                <w:lang w:val="en-CA"/>
              </w:rPr>
            </w:pPr>
            <w:r w:rsidRPr="007D0095">
              <w:rPr>
                <w:b/>
                <w:noProof/>
                <w:sz w:val="16"/>
                <w:szCs w:val="16"/>
                <w:lang w:val="en-CA"/>
              </w:rPr>
              <w:t>(118)</w:t>
            </w:r>
          </w:p>
        </w:tc>
        <w:tc>
          <w:tcPr>
            <w:tcW w:w="1417" w:type="dxa"/>
            <w:shd w:val="clear" w:color="auto" w:fill="D0CECE" w:themeFill="background2" w:themeFillShade="E6"/>
          </w:tcPr>
          <w:p w:rsidR="003D11BA" w:rsidRDefault="003D11BA" w:rsidP="00212E31">
            <w:pPr>
              <w:rPr>
                <w:b/>
                <w:sz w:val="16"/>
                <w:szCs w:val="16"/>
                <w:lang w:val="fr-BE"/>
              </w:rPr>
            </w:pPr>
            <w:r w:rsidRPr="0037189F">
              <w:rPr>
                <w:b/>
                <w:sz w:val="16"/>
                <w:szCs w:val="16"/>
                <w:lang w:val="fr-BE"/>
              </w:rPr>
              <w:t xml:space="preserve">Brazilian guidelines </w:t>
            </w:r>
          </w:p>
          <w:p w:rsidR="003D11BA" w:rsidRPr="0037189F" w:rsidRDefault="003D11BA" w:rsidP="00212E31">
            <w:pPr>
              <w:rPr>
                <w:b/>
                <w:sz w:val="16"/>
                <w:szCs w:val="16"/>
                <w:lang w:val="fr-BE"/>
              </w:rPr>
            </w:pPr>
            <w:r>
              <w:rPr>
                <w:b/>
                <w:noProof/>
                <w:sz w:val="16"/>
                <w:szCs w:val="16"/>
                <w:lang w:val="fr-BE"/>
              </w:rPr>
              <w:t>(5, 58, 117)</w:t>
            </w:r>
          </w:p>
          <w:p w:rsidR="003D11BA" w:rsidRPr="0037189F" w:rsidRDefault="003D11BA" w:rsidP="00212E31">
            <w:pPr>
              <w:rPr>
                <w:b/>
                <w:lang w:val="fr-BE"/>
              </w:rPr>
            </w:pPr>
          </w:p>
        </w:tc>
        <w:tc>
          <w:tcPr>
            <w:tcW w:w="1134" w:type="dxa"/>
            <w:shd w:val="clear" w:color="auto" w:fill="D0CECE" w:themeFill="background2" w:themeFillShade="E6"/>
          </w:tcPr>
          <w:p w:rsidR="003D11BA" w:rsidRPr="00AD23B9" w:rsidRDefault="003D11BA" w:rsidP="00212E31">
            <w:pPr>
              <w:rPr>
                <w:b/>
                <w:sz w:val="16"/>
                <w:szCs w:val="16"/>
                <w:lang w:val="en-CA"/>
              </w:rPr>
            </w:pPr>
            <w:r w:rsidRPr="00146F0F">
              <w:rPr>
                <w:b/>
                <w:sz w:val="16"/>
                <w:szCs w:val="16"/>
                <w:lang w:val="en-CA"/>
              </w:rPr>
              <w:t>Belgian guidelines</w:t>
            </w:r>
            <w:r>
              <w:rPr>
                <w:b/>
                <w:sz w:val="16"/>
                <w:szCs w:val="16"/>
                <w:lang w:val="en-CA"/>
              </w:rPr>
              <w:t xml:space="preserve"> </w:t>
            </w:r>
            <w:r>
              <w:rPr>
                <w:b/>
                <w:noProof/>
                <w:sz w:val="16"/>
                <w:szCs w:val="16"/>
                <w:lang w:val="en-CA"/>
              </w:rPr>
              <w:t>(148)</w:t>
            </w:r>
          </w:p>
        </w:tc>
        <w:tc>
          <w:tcPr>
            <w:tcW w:w="3827" w:type="dxa"/>
            <w:shd w:val="clear" w:color="auto" w:fill="D0CECE" w:themeFill="background2" w:themeFillShade="E6"/>
          </w:tcPr>
          <w:p w:rsidR="003D11BA" w:rsidRPr="00146F0F" w:rsidRDefault="003D11BA" w:rsidP="00212E31">
            <w:pPr>
              <w:rPr>
                <w:b/>
                <w:sz w:val="16"/>
                <w:szCs w:val="16"/>
                <w:lang w:val="en-CA"/>
              </w:rPr>
            </w:pPr>
            <w:r w:rsidRPr="00146F0F">
              <w:rPr>
                <w:b/>
                <w:sz w:val="16"/>
                <w:szCs w:val="16"/>
                <w:lang w:val="en-CA"/>
              </w:rPr>
              <w:t>CLSI I/LA02-A2 Quality Assurance of Laboratory Tests for Autoantibodies to nuclear antigens</w:t>
            </w:r>
            <w:r>
              <w:rPr>
                <w:b/>
                <w:sz w:val="16"/>
                <w:szCs w:val="16"/>
                <w:lang w:val="en-CA"/>
              </w:rPr>
              <w:t xml:space="preserve"> on </w:t>
            </w:r>
            <w:r>
              <w:rPr>
                <w:b/>
                <w:noProof/>
                <w:sz w:val="16"/>
                <w:szCs w:val="16"/>
                <w:lang w:val="en-CA"/>
              </w:rPr>
              <w:t>(40)</w:t>
            </w:r>
            <w:r>
              <w:rPr>
                <w:b/>
                <w:sz w:val="16"/>
                <w:szCs w:val="16"/>
                <w:lang w:val="en-CA"/>
              </w:rPr>
              <w:t>:</w:t>
            </w:r>
          </w:p>
        </w:tc>
        <w:tc>
          <w:tcPr>
            <w:tcW w:w="2268" w:type="dxa"/>
            <w:shd w:val="clear" w:color="auto" w:fill="D0CECE" w:themeFill="background2" w:themeFillShade="E6"/>
          </w:tcPr>
          <w:p w:rsidR="003D11BA" w:rsidRDefault="003D11BA" w:rsidP="00212E31">
            <w:pPr>
              <w:rPr>
                <w:b/>
                <w:sz w:val="16"/>
                <w:szCs w:val="16"/>
                <w:lang w:val="en-CA"/>
              </w:rPr>
            </w:pPr>
            <w:r w:rsidRPr="00146F0F">
              <w:rPr>
                <w:b/>
                <w:sz w:val="16"/>
                <w:szCs w:val="16"/>
                <w:lang w:val="en-CA"/>
              </w:rPr>
              <w:t>EASI guidelines</w:t>
            </w:r>
          </w:p>
          <w:p w:rsidR="003D11BA" w:rsidRPr="00146F0F" w:rsidRDefault="003D11BA" w:rsidP="00212E31">
            <w:pPr>
              <w:rPr>
                <w:b/>
                <w:sz w:val="16"/>
                <w:szCs w:val="16"/>
                <w:lang w:val="en-CA"/>
              </w:rPr>
            </w:pPr>
            <w:r>
              <w:rPr>
                <w:b/>
                <w:noProof/>
                <w:sz w:val="16"/>
                <w:szCs w:val="16"/>
                <w:lang w:val="en-CA"/>
              </w:rPr>
              <w:t>(116)</w:t>
            </w:r>
          </w:p>
          <w:p w:rsidR="003D11BA" w:rsidRDefault="003D11BA" w:rsidP="00212E31">
            <w:pPr>
              <w:rPr>
                <w:b/>
                <w:sz w:val="16"/>
                <w:szCs w:val="16"/>
                <w:lang w:val="en-CA"/>
              </w:rPr>
            </w:pPr>
          </w:p>
          <w:p w:rsidR="003D11BA" w:rsidRPr="00146F0F" w:rsidRDefault="003D11BA" w:rsidP="00212E31">
            <w:pPr>
              <w:rPr>
                <w:b/>
                <w:sz w:val="16"/>
                <w:szCs w:val="16"/>
                <w:lang w:val="en-CA"/>
              </w:rPr>
            </w:pPr>
          </w:p>
        </w:tc>
        <w:tc>
          <w:tcPr>
            <w:tcW w:w="3119" w:type="dxa"/>
            <w:shd w:val="clear" w:color="auto" w:fill="D0CECE" w:themeFill="background2" w:themeFillShade="E6"/>
          </w:tcPr>
          <w:p w:rsidR="003D11BA" w:rsidRPr="00146F0F" w:rsidRDefault="003D11BA" w:rsidP="00212E31">
            <w:pPr>
              <w:rPr>
                <w:b/>
                <w:sz w:val="16"/>
                <w:szCs w:val="16"/>
                <w:lang w:val="en-CA"/>
              </w:rPr>
            </w:pPr>
            <w:r w:rsidRPr="00146F0F">
              <w:rPr>
                <w:b/>
                <w:sz w:val="16"/>
                <w:szCs w:val="16"/>
                <w:lang w:val="en-CA"/>
              </w:rPr>
              <w:t>Dutch medical immunology</w:t>
            </w:r>
          </w:p>
          <w:p w:rsidR="003D11BA" w:rsidRPr="00146F0F" w:rsidRDefault="003D11BA" w:rsidP="00212E31">
            <w:pPr>
              <w:rPr>
                <w:b/>
                <w:sz w:val="16"/>
                <w:szCs w:val="16"/>
                <w:lang w:val="en-CA"/>
              </w:rPr>
            </w:pPr>
            <w:r w:rsidRPr="00146F0F">
              <w:rPr>
                <w:b/>
                <w:sz w:val="16"/>
                <w:szCs w:val="16"/>
                <w:lang w:val="en-CA"/>
              </w:rPr>
              <w:t xml:space="preserve">laboratory specialists guidelines </w:t>
            </w:r>
          </w:p>
          <w:p w:rsidR="003D11BA" w:rsidRPr="00146F0F" w:rsidRDefault="003D11BA" w:rsidP="00212E31">
            <w:pPr>
              <w:rPr>
                <w:b/>
                <w:sz w:val="16"/>
                <w:szCs w:val="16"/>
                <w:lang w:val="en-CA"/>
              </w:rPr>
            </w:pPr>
            <w:r>
              <w:rPr>
                <w:b/>
                <w:noProof/>
                <w:sz w:val="16"/>
                <w:szCs w:val="16"/>
                <w:lang w:val="en-CA"/>
              </w:rPr>
              <w:t>(141)</w:t>
            </w:r>
          </w:p>
        </w:tc>
      </w:tr>
      <w:tr w:rsidR="003D11BA" w:rsidTr="00212E31">
        <w:tc>
          <w:tcPr>
            <w:tcW w:w="1129" w:type="dxa"/>
            <w:shd w:val="clear" w:color="auto" w:fill="D0CECE" w:themeFill="background2" w:themeFillShade="E6"/>
          </w:tcPr>
          <w:p w:rsidR="003D11BA" w:rsidRDefault="003D11BA" w:rsidP="00212E31">
            <w:pPr>
              <w:rPr>
                <w:lang w:val="en-CA"/>
              </w:rPr>
            </w:pPr>
            <w:r w:rsidRPr="00146F0F">
              <w:rPr>
                <w:rFonts w:ascii="Calibri" w:hAnsi="Calibri" w:cs="Calibri"/>
                <w:b/>
                <w:color w:val="000000"/>
                <w:sz w:val="16"/>
                <w:szCs w:val="16"/>
                <w:lang w:val="en-CA"/>
              </w:rPr>
              <w:t>Type of guideline</w:t>
            </w:r>
          </w:p>
        </w:tc>
        <w:tc>
          <w:tcPr>
            <w:tcW w:w="1560" w:type="dxa"/>
            <w:shd w:val="clear" w:color="auto" w:fill="D0CECE" w:themeFill="background2" w:themeFillShade="E6"/>
          </w:tcPr>
          <w:p w:rsidR="003D11BA" w:rsidRPr="00201B71" w:rsidRDefault="003D11BA" w:rsidP="00212E31">
            <w:pPr>
              <w:rPr>
                <w:b/>
                <w:sz w:val="16"/>
                <w:szCs w:val="16"/>
                <w:lang w:val="en-CA"/>
              </w:rPr>
            </w:pPr>
            <w:r w:rsidRPr="00201B71">
              <w:rPr>
                <w:b/>
                <w:sz w:val="16"/>
                <w:szCs w:val="16"/>
                <w:lang w:val="en-CA"/>
              </w:rPr>
              <w:t>Hep-2 IIF</w:t>
            </w:r>
          </w:p>
          <w:p w:rsidR="003D11BA" w:rsidRPr="00201B71" w:rsidRDefault="003D11BA" w:rsidP="00212E31">
            <w:pPr>
              <w:rPr>
                <w:b/>
                <w:sz w:val="16"/>
                <w:szCs w:val="16"/>
                <w:lang w:val="en-CA"/>
              </w:rPr>
            </w:pPr>
          </w:p>
        </w:tc>
        <w:tc>
          <w:tcPr>
            <w:tcW w:w="1417" w:type="dxa"/>
            <w:shd w:val="clear" w:color="auto" w:fill="D0CECE" w:themeFill="background2" w:themeFillShade="E6"/>
          </w:tcPr>
          <w:p w:rsidR="003D11BA" w:rsidRPr="00201B71" w:rsidRDefault="003D11BA" w:rsidP="00212E31">
            <w:pPr>
              <w:rPr>
                <w:b/>
                <w:sz w:val="16"/>
                <w:szCs w:val="16"/>
                <w:lang w:val="en-CA"/>
              </w:rPr>
            </w:pPr>
            <w:r w:rsidRPr="00201B71">
              <w:rPr>
                <w:b/>
                <w:sz w:val="16"/>
                <w:szCs w:val="16"/>
                <w:lang w:val="en-CA"/>
              </w:rPr>
              <w:t>Hep-2 IIF</w:t>
            </w:r>
          </w:p>
          <w:p w:rsidR="003D11BA" w:rsidRPr="00201B71" w:rsidRDefault="003D11BA" w:rsidP="00212E31">
            <w:pPr>
              <w:rPr>
                <w:b/>
                <w:sz w:val="16"/>
                <w:szCs w:val="16"/>
                <w:lang w:val="en-CA"/>
              </w:rPr>
            </w:pPr>
          </w:p>
        </w:tc>
        <w:tc>
          <w:tcPr>
            <w:tcW w:w="1134" w:type="dxa"/>
            <w:shd w:val="clear" w:color="auto" w:fill="D0CECE" w:themeFill="background2" w:themeFillShade="E6"/>
          </w:tcPr>
          <w:p w:rsidR="003D11BA" w:rsidRPr="00201B71" w:rsidRDefault="003D11BA" w:rsidP="00212E31">
            <w:pPr>
              <w:rPr>
                <w:b/>
                <w:sz w:val="16"/>
                <w:szCs w:val="16"/>
                <w:lang w:val="en-CA"/>
              </w:rPr>
            </w:pPr>
            <w:r w:rsidRPr="00201B71">
              <w:rPr>
                <w:b/>
                <w:sz w:val="16"/>
                <w:szCs w:val="16"/>
                <w:lang w:val="en-CA"/>
              </w:rPr>
              <w:t>Hep-2 IIF</w:t>
            </w:r>
          </w:p>
          <w:p w:rsidR="003D11BA" w:rsidRPr="00201B71" w:rsidRDefault="003D11BA" w:rsidP="00212E31">
            <w:pPr>
              <w:rPr>
                <w:b/>
                <w:sz w:val="16"/>
                <w:szCs w:val="16"/>
                <w:lang w:val="en-CA"/>
              </w:rPr>
            </w:pPr>
            <w:r w:rsidRPr="00201B71">
              <w:rPr>
                <w:b/>
                <w:sz w:val="16"/>
                <w:szCs w:val="16"/>
                <w:lang w:val="en-CA"/>
              </w:rPr>
              <w:t>dsDNA and anti-ENA</w:t>
            </w:r>
          </w:p>
        </w:tc>
        <w:tc>
          <w:tcPr>
            <w:tcW w:w="3827" w:type="dxa"/>
            <w:shd w:val="clear" w:color="auto" w:fill="D0CECE" w:themeFill="background2" w:themeFillShade="E6"/>
          </w:tcPr>
          <w:p w:rsidR="003D11BA" w:rsidRPr="00201B71" w:rsidRDefault="003D11BA" w:rsidP="00212E31">
            <w:pPr>
              <w:rPr>
                <w:b/>
                <w:sz w:val="16"/>
                <w:szCs w:val="16"/>
                <w:lang w:val="en-CA"/>
              </w:rPr>
            </w:pPr>
            <w:r>
              <w:rPr>
                <w:b/>
                <w:sz w:val="16"/>
                <w:szCs w:val="16"/>
                <w:lang w:val="en-CA"/>
              </w:rPr>
              <w:t>1/</w:t>
            </w:r>
            <w:r w:rsidRPr="00201B71">
              <w:rPr>
                <w:b/>
                <w:sz w:val="16"/>
                <w:szCs w:val="16"/>
                <w:lang w:val="en-CA"/>
              </w:rPr>
              <w:t xml:space="preserve"> Hep IIF</w:t>
            </w:r>
          </w:p>
          <w:p w:rsidR="003D11BA" w:rsidRPr="00201B71" w:rsidRDefault="003D11BA" w:rsidP="00212E31">
            <w:pPr>
              <w:rPr>
                <w:b/>
                <w:sz w:val="16"/>
                <w:szCs w:val="16"/>
                <w:lang w:val="en-CA"/>
              </w:rPr>
            </w:pPr>
            <w:r>
              <w:rPr>
                <w:b/>
                <w:sz w:val="16"/>
                <w:szCs w:val="16"/>
                <w:lang w:val="en-CA"/>
              </w:rPr>
              <w:t>2/</w:t>
            </w:r>
            <w:r w:rsidRPr="00201B71">
              <w:rPr>
                <w:b/>
                <w:sz w:val="16"/>
                <w:szCs w:val="16"/>
                <w:lang w:val="en-CA"/>
              </w:rPr>
              <w:t xml:space="preserve"> ANA Microtiter enzyme immunoassay</w:t>
            </w:r>
          </w:p>
        </w:tc>
        <w:tc>
          <w:tcPr>
            <w:tcW w:w="2268" w:type="dxa"/>
            <w:shd w:val="clear" w:color="auto" w:fill="D0CECE" w:themeFill="background2" w:themeFillShade="E6"/>
          </w:tcPr>
          <w:p w:rsidR="003D11BA" w:rsidRPr="00201B71" w:rsidRDefault="003D11BA" w:rsidP="00212E31">
            <w:pPr>
              <w:rPr>
                <w:b/>
                <w:sz w:val="16"/>
                <w:szCs w:val="16"/>
                <w:lang w:val="en-CA"/>
              </w:rPr>
            </w:pPr>
            <w:r w:rsidRPr="00201B71">
              <w:rPr>
                <w:b/>
                <w:sz w:val="16"/>
                <w:szCs w:val="16"/>
                <w:lang w:val="en-CA"/>
              </w:rPr>
              <w:t>For autoantibodies in general</w:t>
            </w:r>
          </w:p>
        </w:tc>
        <w:tc>
          <w:tcPr>
            <w:tcW w:w="3119" w:type="dxa"/>
            <w:shd w:val="clear" w:color="auto" w:fill="D0CECE" w:themeFill="background2" w:themeFillShade="E6"/>
          </w:tcPr>
          <w:p w:rsidR="003D11BA" w:rsidRPr="00201B71" w:rsidRDefault="003D11BA" w:rsidP="00212E31">
            <w:pPr>
              <w:rPr>
                <w:b/>
                <w:sz w:val="16"/>
                <w:szCs w:val="16"/>
                <w:lang w:val="en-CA"/>
              </w:rPr>
            </w:pPr>
            <w:r w:rsidRPr="00201B71">
              <w:rPr>
                <w:b/>
                <w:sz w:val="16"/>
                <w:szCs w:val="16"/>
                <w:lang w:val="en-CA"/>
              </w:rPr>
              <w:t>For autoantibodies in general</w:t>
            </w:r>
          </w:p>
        </w:tc>
      </w:tr>
      <w:tr w:rsidR="003D11BA" w:rsidTr="00212E31">
        <w:tc>
          <w:tcPr>
            <w:tcW w:w="1129" w:type="dxa"/>
            <w:shd w:val="clear" w:color="auto" w:fill="D0CECE" w:themeFill="background2" w:themeFillShade="E6"/>
          </w:tcPr>
          <w:p w:rsidR="003D11BA" w:rsidRDefault="003D11BA" w:rsidP="00212E31">
            <w:pPr>
              <w:rPr>
                <w:lang w:val="en-CA"/>
              </w:rPr>
            </w:pPr>
            <w:r>
              <w:rPr>
                <w:rFonts w:ascii="Calibri" w:hAnsi="Calibri" w:cs="Calibri"/>
                <w:b/>
                <w:color w:val="000000"/>
                <w:sz w:val="16"/>
                <w:szCs w:val="16"/>
                <w:lang w:val="en-CA"/>
              </w:rPr>
              <w:t>Precision</w:t>
            </w:r>
          </w:p>
        </w:tc>
        <w:tc>
          <w:tcPr>
            <w:tcW w:w="1560" w:type="dxa"/>
          </w:tcPr>
          <w:p w:rsidR="003D11BA" w:rsidRDefault="003D11BA" w:rsidP="00212E31">
            <w:pPr>
              <w:rPr>
                <w:lang w:val="en-CA"/>
              </w:rPr>
            </w:pPr>
            <w:r>
              <w:rPr>
                <w:rFonts w:ascii="Calibri" w:hAnsi="Calibri" w:cs="Calibri"/>
                <w:b/>
                <w:color w:val="000000"/>
                <w:sz w:val="16"/>
                <w:szCs w:val="16"/>
                <w:lang w:val="en-CA"/>
              </w:rPr>
              <w:t>Not addressed</w:t>
            </w:r>
          </w:p>
        </w:tc>
        <w:tc>
          <w:tcPr>
            <w:tcW w:w="1417" w:type="dxa"/>
          </w:tcPr>
          <w:p w:rsidR="003D11BA" w:rsidRDefault="003D11BA" w:rsidP="00212E31">
            <w:pPr>
              <w:rPr>
                <w:lang w:val="en-CA"/>
              </w:rPr>
            </w:pPr>
            <w:r>
              <w:rPr>
                <w:rFonts w:ascii="Calibri" w:hAnsi="Calibri" w:cs="Calibri"/>
                <w:b/>
                <w:color w:val="000000"/>
                <w:sz w:val="16"/>
                <w:szCs w:val="16"/>
                <w:lang w:val="en-CA"/>
              </w:rPr>
              <w:t>Not addressed</w:t>
            </w:r>
          </w:p>
        </w:tc>
        <w:tc>
          <w:tcPr>
            <w:tcW w:w="1134" w:type="dxa"/>
          </w:tcPr>
          <w:p w:rsidR="003D11BA" w:rsidRDefault="003D11BA" w:rsidP="00212E31">
            <w:pPr>
              <w:rPr>
                <w:lang w:val="en-CA"/>
              </w:rPr>
            </w:pPr>
            <w:r>
              <w:rPr>
                <w:rFonts w:ascii="Calibri" w:hAnsi="Calibri" w:cs="Calibri"/>
                <w:b/>
                <w:color w:val="000000"/>
                <w:sz w:val="16"/>
                <w:szCs w:val="16"/>
                <w:lang w:val="en-CA"/>
              </w:rPr>
              <w:t>Not addressed</w:t>
            </w:r>
          </w:p>
        </w:tc>
        <w:tc>
          <w:tcPr>
            <w:tcW w:w="3827" w:type="dxa"/>
          </w:tcPr>
          <w:p w:rsidR="003D11BA" w:rsidRPr="00470352" w:rsidRDefault="003D11BA" w:rsidP="00212E31">
            <w:pPr>
              <w:rPr>
                <w:rFonts w:ascii="Calibri" w:hAnsi="Calibri" w:cs="Calibri"/>
                <w:color w:val="000000"/>
                <w:sz w:val="16"/>
                <w:szCs w:val="16"/>
                <w:u w:val="single"/>
                <w:lang w:val="en-CA"/>
              </w:rPr>
            </w:pPr>
            <w:r w:rsidRPr="00470352">
              <w:rPr>
                <w:rFonts w:ascii="Calibri" w:hAnsi="Calibri" w:cs="Calibri"/>
                <w:color w:val="000000"/>
                <w:sz w:val="16"/>
                <w:szCs w:val="16"/>
                <w:u w:val="single"/>
                <w:lang w:val="en-CA"/>
              </w:rPr>
              <w:t xml:space="preserve">For ELISA: </w:t>
            </w:r>
          </w:p>
          <w:p w:rsidR="003D11BA" w:rsidRDefault="003D11BA" w:rsidP="00212E31">
            <w:pPr>
              <w:rPr>
                <w:rFonts w:ascii="Calibri" w:hAnsi="Calibri" w:cs="Calibri"/>
                <w:color w:val="000000"/>
                <w:sz w:val="16"/>
                <w:szCs w:val="16"/>
                <w:lang w:val="en-CA"/>
              </w:rPr>
            </w:pPr>
            <w:r>
              <w:rPr>
                <w:rFonts w:ascii="Calibri" w:hAnsi="Calibri" w:cs="Calibri"/>
                <w:color w:val="000000"/>
                <w:sz w:val="16"/>
                <w:szCs w:val="16"/>
                <w:lang w:val="en-CA"/>
              </w:rPr>
              <w:t>Verify i</w:t>
            </w:r>
            <w:r w:rsidRPr="0016069F">
              <w:rPr>
                <w:rFonts w:ascii="Calibri" w:hAnsi="Calibri" w:cs="Calibri"/>
                <w:color w:val="000000"/>
                <w:sz w:val="16"/>
                <w:szCs w:val="16"/>
                <w:lang w:val="en-CA"/>
              </w:rPr>
              <w:t>ntermediary precis</w:t>
            </w:r>
            <w:r>
              <w:rPr>
                <w:rFonts w:ascii="Calibri" w:hAnsi="Calibri" w:cs="Calibri"/>
                <w:color w:val="000000"/>
                <w:sz w:val="16"/>
                <w:szCs w:val="16"/>
                <w:lang w:val="en-CA"/>
              </w:rPr>
              <w:t>i</w:t>
            </w:r>
            <w:r w:rsidRPr="0016069F">
              <w:rPr>
                <w:rFonts w:ascii="Calibri" w:hAnsi="Calibri" w:cs="Calibri"/>
                <w:color w:val="000000"/>
                <w:sz w:val="16"/>
                <w:szCs w:val="16"/>
                <w:lang w:val="en-CA"/>
              </w:rPr>
              <w:t>on</w:t>
            </w:r>
            <w:r>
              <w:rPr>
                <w:rFonts w:ascii="Calibri" w:hAnsi="Calibri" w:cs="Calibri"/>
                <w:color w:val="000000"/>
                <w:sz w:val="16"/>
                <w:szCs w:val="16"/>
                <w:lang w:val="en-CA"/>
              </w:rPr>
              <w:t xml:space="preserve"> (user-defined but CV&lt;20% for positive control is common)</w:t>
            </w:r>
          </w:p>
          <w:p w:rsidR="003D11BA" w:rsidRPr="00470352" w:rsidRDefault="003D11BA" w:rsidP="00212E31">
            <w:pPr>
              <w:rPr>
                <w:rFonts w:ascii="Calibri" w:hAnsi="Calibri" w:cs="Calibri"/>
                <w:b/>
                <w:color w:val="000000"/>
                <w:sz w:val="16"/>
                <w:szCs w:val="16"/>
                <w:lang w:val="en-CA"/>
              </w:rPr>
            </w:pPr>
          </w:p>
          <w:p w:rsidR="003D11BA" w:rsidRDefault="003D11BA" w:rsidP="00212E31">
            <w:pPr>
              <w:rPr>
                <w:lang w:val="en-CA"/>
              </w:rPr>
            </w:pPr>
            <w:r>
              <w:rPr>
                <w:rFonts w:ascii="Calibri" w:hAnsi="Calibri" w:cs="Calibri"/>
                <w:b/>
                <w:color w:val="000000"/>
                <w:sz w:val="16"/>
                <w:szCs w:val="16"/>
                <w:lang w:val="en-CA"/>
              </w:rPr>
              <w:t>For Hep-2 IIF</w:t>
            </w:r>
            <w:r w:rsidRPr="00470352">
              <w:rPr>
                <w:rFonts w:ascii="Calibri" w:hAnsi="Calibri" w:cs="Calibri"/>
                <w:b/>
                <w:color w:val="000000"/>
                <w:sz w:val="16"/>
                <w:szCs w:val="16"/>
                <w:lang w:val="en-CA"/>
              </w:rPr>
              <w:t>: not addressed</w:t>
            </w:r>
          </w:p>
        </w:tc>
        <w:tc>
          <w:tcPr>
            <w:tcW w:w="2268" w:type="dxa"/>
          </w:tcPr>
          <w:p w:rsidR="003D11BA" w:rsidRDefault="003D11BA" w:rsidP="00212E31">
            <w:pPr>
              <w:rPr>
                <w:sz w:val="16"/>
                <w:szCs w:val="16"/>
                <w:lang w:val="en-CA"/>
              </w:rPr>
            </w:pPr>
            <w:r>
              <w:rPr>
                <w:sz w:val="16"/>
                <w:szCs w:val="16"/>
                <w:lang w:val="en-CA"/>
              </w:rPr>
              <w:t xml:space="preserve">Verify repeatability and intermediary precision </w:t>
            </w:r>
          </w:p>
          <w:p w:rsidR="003D11BA" w:rsidRPr="001A3B35" w:rsidRDefault="003D11BA" w:rsidP="00212E31">
            <w:pPr>
              <w:rPr>
                <w:sz w:val="16"/>
                <w:szCs w:val="16"/>
                <w:u w:val="single"/>
                <w:lang w:val="en-CA"/>
              </w:rPr>
            </w:pPr>
            <w:r w:rsidRPr="001A3B35">
              <w:rPr>
                <w:sz w:val="16"/>
                <w:szCs w:val="16"/>
                <w:u w:val="single"/>
                <w:lang w:val="en-CA"/>
              </w:rPr>
              <w:t xml:space="preserve">Qualitative test: </w:t>
            </w:r>
          </w:p>
          <w:p w:rsidR="003D11BA" w:rsidRPr="006779C4" w:rsidRDefault="003D11BA" w:rsidP="00212E31">
            <w:pPr>
              <w:rPr>
                <w:sz w:val="16"/>
                <w:szCs w:val="16"/>
                <w:lang w:val="en-CA"/>
              </w:rPr>
            </w:pPr>
            <w:r w:rsidRPr="006779C4">
              <w:rPr>
                <w:sz w:val="16"/>
                <w:szCs w:val="16"/>
                <w:lang w:val="en-CA"/>
              </w:rPr>
              <w:t>10 replicates positive/negative sample</w:t>
            </w:r>
            <w:r>
              <w:rPr>
                <w:sz w:val="16"/>
                <w:szCs w:val="16"/>
                <w:lang w:val="en-CA"/>
              </w:rPr>
              <w:t>s</w:t>
            </w:r>
          </w:p>
          <w:p w:rsidR="003D11BA" w:rsidRPr="001A3B35" w:rsidRDefault="003D11BA" w:rsidP="00212E31">
            <w:pPr>
              <w:rPr>
                <w:sz w:val="16"/>
                <w:szCs w:val="16"/>
                <w:u w:val="single"/>
                <w:lang w:val="en-CA"/>
              </w:rPr>
            </w:pPr>
            <w:r w:rsidRPr="001A3B35">
              <w:rPr>
                <w:sz w:val="16"/>
                <w:szCs w:val="16"/>
                <w:u w:val="single"/>
                <w:lang w:val="en-CA"/>
              </w:rPr>
              <w:t xml:space="preserve">Semi quantitative test: </w:t>
            </w:r>
          </w:p>
          <w:p w:rsidR="003D11BA" w:rsidRDefault="003D11BA" w:rsidP="00212E31">
            <w:pPr>
              <w:rPr>
                <w:lang w:val="en-CA"/>
              </w:rPr>
            </w:pPr>
            <w:r>
              <w:rPr>
                <w:sz w:val="16"/>
                <w:szCs w:val="16"/>
                <w:lang w:val="en-CA"/>
              </w:rPr>
              <w:t>10 replicates  at  3 levels</w:t>
            </w:r>
          </w:p>
        </w:tc>
        <w:tc>
          <w:tcPr>
            <w:tcW w:w="3119" w:type="dxa"/>
          </w:tcPr>
          <w:p w:rsidR="003D11BA" w:rsidRDefault="003D11BA" w:rsidP="00212E31">
            <w:pPr>
              <w:rPr>
                <w:lang w:val="en-CA"/>
              </w:rPr>
            </w:pPr>
            <w:r>
              <w:rPr>
                <w:sz w:val="16"/>
                <w:szCs w:val="16"/>
                <w:lang w:val="en-CA"/>
              </w:rPr>
              <w:t>Verify precision</w:t>
            </w:r>
          </w:p>
        </w:tc>
      </w:tr>
      <w:tr w:rsidR="003D11BA" w:rsidRPr="00CA415F" w:rsidTr="00212E31">
        <w:tc>
          <w:tcPr>
            <w:tcW w:w="1129" w:type="dxa"/>
            <w:shd w:val="clear" w:color="auto" w:fill="D0CECE" w:themeFill="background2" w:themeFillShade="E6"/>
          </w:tcPr>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Trueness/</w:t>
            </w:r>
          </w:p>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Accuracy/</w:t>
            </w:r>
          </w:p>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Analytical sensitivity/</w:t>
            </w:r>
          </w:p>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Analytical specificity</w:t>
            </w:r>
          </w:p>
          <w:p w:rsidR="003D11BA" w:rsidRDefault="003D11BA" w:rsidP="00212E31">
            <w:pPr>
              <w:rPr>
                <w:lang w:val="en-CA"/>
              </w:rPr>
            </w:pPr>
          </w:p>
        </w:tc>
        <w:tc>
          <w:tcPr>
            <w:tcW w:w="1560" w:type="dxa"/>
          </w:tcPr>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Verify</w:t>
            </w:r>
          </w:p>
          <w:p w:rsidR="003D11BA" w:rsidRDefault="003D11BA" w:rsidP="00212E31">
            <w:pPr>
              <w:rPr>
                <w:lang w:val="en-CA"/>
              </w:rPr>
            </w:pPr>
            <w:r>
              <w:rPr>
                <w:rFonts w:ascii="Calibri" w:hAnsi="Calibri" w:cs="Calibri"/>
                <w:color w:val="000000"/>
                <w:sz w:val="16"/>
                <w:szCs w:val="16"/>
                <w:lang w:val="en-CA"/>
              </w:rPr>
              <w:t xml:space="preserve">fluorescence patterns resulting from defined antibody reactivity using minimally 3 positive sera </w:t>
            </w:r>
            <w:r w:rsidRPr="00393E16">
              <w:rPr>
                <w:rFonts w:ascii="Calibri" w:hAnsi="Calibri" w:cs="Calibri"/>
                <w:i/>
                <w:color w:val="000000"/>
                <w:sz w:val="16"/>
                <w:szCs w:val="16"/>
                <w:lang w:val="en-CA"/>
              </w:rPr>
              <w:t>(e.g.</w:t>
            </w:r>
            <w:r>
              <w:rPr>
                <w:rFonts w:ascii="Calibri" w:hAnsi="Calibri" w:cs="Calibri"/>
                <w:color w:val="000000"/>
                <w:sz w:val="16"/>
                <w:szCs w:val="16"/>
                <w:lang w:val="en-CA"/>
              </w:rPr>
              <w:t xml:space="preserve">  dsDNA, CENP, SSA)</w:t>
            </w:r>
          </w:p>
        </w:tc>
        <w:tc>
          <w:tcPr>
            <w:tcW w:w="1417" w:type="dxa"/>
          </w:tcPr>
          <w:p w:rsidR="003D11BA" w:rsidRDefault="003D11BA" w:rsidP="00212E31">
            <w:pPr>
              <w:autoSpaceDE w:val="0"/>
              <w:autoSpaceDN w:val="0"/>
              <w:adjustRightInd w:val="0"/>
              <w:rPr>
                <w:rFonts w:ascii="Calibri" w:hAnsi="Calibri" w:cs="Calibri"/>
                <w:color w:val="000000"/>
                <w:sz w:val="16"/>
                <w:szCs w:val="16"/>
                <w:lang w:val="en-CA"/>
              </w:rPr>
            </w:pPr>
            <w:r w:rsidRPr="002C7B30">
              <w:rPr>
                <w:rFonts w:ascii="Calibri" w:hAnsi="Calibri" w:cs="Calibri"/>
                <w:color w:val="000000"/>
                <w:sz w:val="16"/>
                <w:szCs w:val="16"/>
                <w:lang w:val="en-CA"/>
              </w:rPr>
              <w:t>Verify</w:t>
            </w:r>
            <w:r>
              <w:rPr>
                <w:rFonts w:ascii="Calibri" w:hAnsi="Calibri" w:cs="Calibri"/>
                <w:color w:val="000000"/>
                <w:sz w:val="16"/>
                <w:szCs w:val="16"/>
                <w:lang w:val="en-CA"/>
              </w:rPr>
              <w:t xml:space="preserve"> patterns using a reference</w:t>
            </w:r>
          </w:p>
          <w:p w:rsidR="003D11BA" w:rsidRDefault="003D11BA" w:rsidP="00212E31">
            <w:pPr>
              <w:rPr>
                <w:lang w:val="en-CA"/>
              </w:rPr>
            </w:pPr>
            <w:r>
              <w:rPr>
                <w:rFonts w:ascii="Calibri" w:hAnsi="Calibri" w:cs="Calibri"/>
                <w:color w:val="000000"/>
                <w:sz w:val="16"/>
                <w:szCs w:val="16"/>
                <w:lang w:val="en-CA"/>
              </w:rPr>
              <w:t xml:space="preserve">panel with various </w:t>
            </w:r>
            <w:r w:rsidRPr="00B0186B">
              <w:rPr>
                <w:rFonts w:ascii="Calibri" w:hAnsi="Calibri" w:cs="Calibri"/>
                <w:color w:val="000000"/>
                <w:sz w:val="16"/>
                <w:szCs w:val="16"/>
                <w:lang w:val="en-CA"/>
              </w:rPr>
              <w:t>patterns, covering the different cell compartments</w:t>
            </w:r>
            <w:r>
              <w:rPr>
                <w:rFonts w:ascii="Calibri" w:hAnsi="Calibri" w:cs="Calibri"/>
                <w:color w:val="000000"/>
                <w:sz w:val="16"/>
                <w:szCs w:val="16"/>
                <w:lang w:val="en-CA"/>
              </w:rPr>
              <w:t xml:space="preserve"> (fragile antigens listed as example)</w:t>
            </w:r>
          </w:p>
        </w:tc>
        <w:tc>
          <w:tcPr>
            <w:tcW w:w="1134" w:type="dxa"/>
          </w:tcPr>
          <w:p w:rsidR="003D11BA" w:rsidRDefault="003D11BA" w:rsidP="00212E31">
            <w:pPr>
              <w:rPr>
                <w:lang w:val="en-CA"/>
              </w:rPr>
            </w:pPr>
            <w:r>
              <w:rPr>
                <w:rFonts w:ascii="Calibri" w:hAnsi="Calibri" w:cs="Calibri"/>
                <w:b/>
                <w:color w:val="000000"/>
                <w:sz w:val="16"/>
                <w:szCs w:val="16"/>
                <w:lang w:val="en-CA"/>
              </w:rPr>
              <w:t>Not addressed</w:t>
            </w:r>
          </w:p>
        </w:tc>
        <w:tc>
          <w:tcPr>
            <w:tcW w:w="3827" w:type="dxa"/>
          </w:tcPr>
          <w:p w:rsidR="003D11BA" w:rsidRPr="00470352" w:rsidRDefault="003D11BA" w:rsidP="00212E31">
            <w:pPr>
              <w:rPr>
                <w:rFonts w:ascii="Calibri" w:hAnsi="Calibri" w:cs="Calibri"/>
                <w:color w:val="000000"/>
                <w:sz w:val="16"/>
                <w:szCs w:val="16"/>
                <w:u w:val="single"/>
                <w:lang w:val="en-CA"/>
              </w:rPr>
            </w:pPr>
            <w:r w:rsidRPr="00470352">
              <w:rPr>
                <w:rFonts w:ascii="Calibri" w:hAnsi="Calibri" w:cs="Calibri"/>
                <w:color w:val="000000"/>
                <w:sz w:val="16"/>
                <w:szCs w:val="16"/>
                <w:u w:val="single"/>
                <w:lang w:val="en-CA"/>
              </w:rPr>
              <w:t xml:space="preserve">For ELISA: </w:t>
            </w:r>
          </w:p>
          <w:p w:rsidR="003D11BA" w:rsidRDefault="003D11BA" w:rsidP="00212E31">
            <w:pPr>
              <w:rPr>
                <w:rFonts w:ascii="Calibri" w:hAnsi="Calibri" w:cs="Calibri"/>
                <w:color w:val="000000"/>
                <w:sz w:val="16"/>
                <w:szCs w:val="16"/>
                <w:lang w:val="en-CA"/>
              </w:rPr>
            </w:pPr>
            <w:r>
              <w:rPr>
                <w:rFonts w:ascii="Calibri" w:hAnsi="Calibri" w:cs="Calibri"/>
                <w:color w:val="000000"/>
                <w:sz w:val="16"/>
                <w:szCs w:val="16"/>
                <w:lang w:val="en-CA"/>
              </w:rPr>
              <w:t>v</w:t>
            </w:r>
            <w:r w:rsidRPr="0016069F">
              <w:rPr>
                <w:rFonts w:ascii="Calibri" w:hAnsi="Calibri" w:cs="Calibri"/>
                <w:color w:val="000000"/>
                <w:sz w:val="16"/>
                <w:szCs w:val="16"/>
                <w:lang w:val="en-CA"/>
              </w:rPr>
              <w:t>erify</w:t>
            </w:r>
            <w:r>
              <w:rPr>
                <w:rFonts w:ascii="Calibri" w:hAnsi="Calibri" w:cs="Calibri"/>
                <w:color w:val="000000"/>
                <w:sz w:val="16"/>
                <w:szCs w:val="16"/>
                <w:lang w:val="en-CA"/>
              </w:rPr>
              <w:t xml:space="preserve"> a</w:t>
            </w:r>
            <w:r w:rsidRPr="0016069F">
              <w:rPr>
                <w:rFonts w:ascii="Calibri" w:hAnsi="Calibri" w:cs="Calibri"/>
                <w:color w:val="000000"/>
                <w:sz w:val="16"/>
                <w:szCs w:val="16"/>
                <w:lang w:val="en-CA"/>
              </w:rPr>
              <w:t>ccuracy</w:t>
            </w:r>
            <w:r>
              <w:rPr>
                <w:rFonts w:ascii="Calibri" w:hAnsi="Calibri" w:cs="Calibri"/>
                <w:color w:val="000000"/>
                <w:sz w:val="16"/>
                <w:szCs w:val="16"/>
                <w:lang w:val="en-CA"/>
              </w:rPr>
              <w:t xml:space="preserve"> (at least the following antigens should be included: dsDNA, U1-RNP, SSA/SSB, Scl-70, CENP, Jo-1)</w:t>
            </w:r>
          </w:p>
          <w:p w:rsidR="003D11BA" w:rsidRDefault="003D11BA" w:rsidP="00212E31">
            <w:pPr>
              <w:rPr>
                <w:rFonts w:ascii="Calibri" w:hAnsi="Calibri" w:cs="Calibri"/>
                <w:color w:val="000000"/>
                <w:sz w:val="16"/>
                <w:szCs w:val="16"/>
                <w:lang w:val="en-CA"/>
              </w:rPr>
            </w:pPr>
          </w:p>
          <w:p w:rsidR="003D11BA" w:rsidRDefault="003D11BA" w:rsidP="00212E31">
            <w:pPr>
              <w:rPr>
                <w:lang w:val="en-CA"/>
              </w:rPr>
            </w:pPr>
            <w:r w:rsidRPr="00470352">
              <w:rPr>
                <w:rFonts w:ascii="Calibri" w:hAnsi="Calibri" w:cs="Calibri"/>
                <w:color w:val="000000"/>
                <w:sz w:val="16"/>
                <w:szCs w:val="16"/>
                <w:u w:val="single"/>
                <w:lang w:val="en-CA"/>
              </w:rPr>
              <w:t>For Hep-2 IIF</w:t>
            </w:r>
            <w:r>
              <w:rPr>
                <w:rFonts w:ascii="Calibri" w:hAnsi="Calibri" w:cs="Calibri"/>
                <w:color w:val="000000"/>
                <w:sz w:val="16"/>
                <w:szCs w:val="16"/>
                <w:lang w:val="en-CA"/>
              </w:rPr>
              <w:t>: each lot of substrate should be tested with a low-titer, known positive antibody to SS-A, and a negative control</w:t>
            </w:r>
          </w:p>
        </w:tc>
        <w:tc>
          <w:tcPr>
            <w:tcW w:w="2268" w:type="dxa"/>
          </w:tcPr>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Verify analytical sensitivity/specificity by method comparison using:</w:t>
            </w:r>
          </w:p>
          <w:p w:rsidR="003D11BA" w:rsidRDefault="003D11BA" w:rsidP="00212E31">
            <w:pPr>
              <w:autoSpaceDE w:val="0"/>
              <w:autoSpaceDN w:val="0"/>
              <w:adjustRightInd w:val="0"/>
              <w:rPr>
                <w:sz w:val="16"/>
                <w:szCs w:val="16"/>
                <w:lang w:val="en-CA"/>
              </w:rPr>
            </w:pPr>
            <w:r>
              <w:rPr>
                <w:rFonts w:ascii="Calibri" w:hAnsi="Calibri" w:cs="Calibri"/>
                <w:color w:val="000000"/>
                <w:sz w:val="16"/>
                <w:szCs w:val="16"/>
                <w:lang w:val="en-CA"/>
              </w:rPr>
              <w:t xml:space="preserve">- </w:t>
            </w:r>
            <w:r>
              <w:rPr>
                <w:sz w:val="16"/>
                <w:szCs w:val="16"/>
                <w:lang w:val="en-CA"/>
              </w:rPr>
              <w:t xml:space="preserve">positive sera </w:t>
            </w:r>
          </w:p>
          <w:p w:rsidR="003D11BA" w:rsidRDefault="003D11BA" w:rsidP="00212E31">
            <w:pPr>
              <w:autoSpaceDE w:val="0"/>
              <w:autoSpaceDN w:val="0"/>
              <w:adjustRightInd w:val="0"/>
              <w:rPr>
                <w:sz w:val="16"/>
                <w:szCs w:val="16"/>
                <w:lang w:val="en-CA"/>
              </w:rPr>
            </w:pPr>
            <w:r>
              <w:rPr>
                <w:sz w:val="16"/>
                <w:szCs w:val="16"/>
                <w:lang w:val="en-CA"/>
              </w:rPr>
              <w:t xml:space="preserve">      ( at least 10, ideally 50)</w:t>
            </w:r>
          </w:p>
          <w:p w:rsidR="003D11BA" w:rsidRDefault="003D11BA" w:rsidP="00212E31">
            <w:pPr>
              <w:rPr>
                <w:sz w:val="16"/>
                <w:szCs w:val="16"/>
                <w:lang w:val="en-CA"/>
              </w:rPr>
            </w:pPr>
            <w:r>
              <w:rPr>
                <w:sz w:val="16"/>
                <w:szCs w:val="16"/>
                <w:lang w:val="en-CA"/>
              </w:rPr>
              <w:t xml:space="preserve">-negative sera </w:t>
            </w:r>
          </w:p>
          <w:p w:rsidR="003D11BA" w:rsidRDefault="003D11BA" w:rsidP="00212E31">
            <w:pPr>
              <w:rPr>
                <w:sz w:val="16"/>
                <w:szCs w:val="16"/>
                <w:lang w:val="en-CA"/>
              </w:rPr>
            </w:pPr>
            <w:r>
              <w:rPr>
                <w:sz w:val="16"/>
                <w:szCs w:val="16"/>
                <w:lang w:val="en-CA"/>
              </w:rPr>
              <w:t xml:space="preserve">       (at least 10, ideally 100)</w:t>
            </w:r>
          </w:p>
          <w:p w:rsidR="003D11BA" w:rsidRDefault="003D11BA" w:rsidP="00212E31">
            <w:pPr>
              <w:rPr>
                <w:lang w:val="en-CA"/>
              </w:rPr>
            </w:pPr>
            <w:r>
              <w:rPr>
                <w:sz w:val="16"/>
                <w:szCs w:val="16"/>
                <w:lang w:val="en-CA"/>
              </w:rPr>
              <w:t>Total comparison of at least 30.</w:t>
            </w:r>
          </w:p>
        </w:tc>
        <w:tc>
          <w:tcPr>
            <w:tcW w:w="3119" w:type="dxa"/>
          </w:tcPr>
          <w:p w:rsidR="003D11BA" w:rsidRDefault="003D11BA" w:rsidP="00212E31">
            <w:pPr>
              <w:rPr>
                <w:sz w:val="16"/>
                <w:szCs w:val="16"/>
                <w:lang w:val="en-CA"/>
              </w:rPr>
            </w:pPr>
            <w:r>
              <w:rPr>
                <w:sz w:val="16"/>
                <w:szCs w:val="16"/>
                <w:lang w:val="en-CA"/>
              </w:rPr>
              <w:t>Verify trueness/accuracy/analytical sensitivity/specificity</w:t>
            </w:r>
          </w:p>
          <w:p w:rsidR="003D11BA" w:rsidRPr="00BF24CD" w:rsidRDefault="003D11BA" w:rsidP="00212E31">
            <w:pPr>
              <w:rPr>
                <w:sz w:val="16"/>
                <w:szCs w:val="16"/>
                <w:lang w:val="en-CA"/>
              </w:rPr>
            </w:pPr>
            <w:r w:rsidRPr="00BF24CD">
              <w:rPr>
                <w:sz w:val="16"/>
                <w:szCs w:val="16"/>
                <w:lang w:val="en-CA"/>
              </w:rPr>
              <w:sym w:font="Wingdings" w:char="F0E0"/>
            </w:r>
            <w:r>
              <w:rPr>
                <w:sz w:val="16"/>
                <w:szCs w:val="16"/>
                <w:lang w:val="en-CA"/>
              </w:rPr>
              <w:t xml:space="preserve"> Validation studies by individual labs consist of method comparison</w:t>
            </w:r>
          </w:p>
          <w:p w:rsidR="003D11BA" w:rsidRDefault="003D11BA" w:rsidP="00212E31">
            <w:pPr>
              <w:rPr>
                <w:lang w:val="en-CA"/>
              </w:rPr>
            </w:pPr>
            <w:r w:rsidRPr="00FD5D47">
              <w:rPr>
                <w:sz w:val="16"/>
                <w:szCs w:val="16"/>
                <w:lang w:val="en-CA"/>
              </w:rPr>
              <w:sym w:font="Wingdings" w:char="F0E0"/>
            </w:r>
            <w:r>
              <w:rPr>
                <w:sz w:val="16"/>
                <w:szCs w:val="16"/>
                <w:lang w:val="en-CA"/>
              </w:rPr>
              <w:t xml:space="preserve"> Analytical specificity: based on data from multicentre validation studies can be used; no local verification needed</w:t>
            </w:r>
          </w:p>
        </w:tc>
      </w:tr>
      <w:tr w:rsidR="003D11BA" w:rsidRPr="00CA415F" w:rsidTr="00212E31">
        <w:tc>
          <w:tcPr>
            <w:tcW w:w="1129" w:type="dxa"/>
            <w:shd w:val="clear" w:color="auto" w:fill="D0CECE" w:themeFill="background2" w:themeFillShade="E6"/>
          </w:tcPr>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Reference values/</w:t>
            </w:r>
          </w:p>
          <w:p w:rsidR="003D11BA" w:rsidRDefault="003D11BA" w:rsidP="00212E31">
            <w:pPr>
              <w:rPr>
                <w:lang w:val="en-CA"/>
              </w:rPr>
            </w:pPr>
            <w:r>
              <w:rPr>
                <w:rFonts w:ascii="Calibri" w:hAnsi="Calibri" w:cs="Calibri"/>
                <w:b/>
                <w:color w:val="000000"/>
                <w:sz w:val="16"/>
                <w:szCs w:val="16"/>
                <w:lang w:val="en-CA"/>
              </w:rPr>
              <w:t>Cut off values</w:t>
            </w:r>
          </w:p>
        </w:tc>
        <w:tc>
          <w:tcPr>
            <w:tcW w:w="1560" w:type="dxa"/>
          </w:tcPr>
          <w:p w:rsidR="003D11BA" w:rsidRPr="00AD23B9" w:rsidRDefault="003D11BA" w:rsidP="00212E31">
            <w:pPr>
              <w:autoSpaceDE w:val="0"/>
              <w:autoSpaceDN w:val="0"/>
              <w:adjustRightInd w:val="0"/>
              <w:rPr>
                <w:rFonts w:ascii="Calibri" w:hAnsi="Calibri" w:cs="Calibri"/>
                <w:b/>
                <w:color w:val="000000"/>
                <w:sz w:val="16"/>
                <w:szCs w:val="16"/>
                <w:lang w:val="en-CA"/>
              </w:rPr>
            </w:pPr>
            <w:r w:rsidRPr="00AD23B9">
              <w:rPr>
                <w:rFonts w:ascii="Calibri" w:hAnsi="Calibri" w:cs="Calibri"/>
                <w:b/>
                <w:color w:val="000000"/>
                <w:sz w:val="16"/>
                <w:szCs w:val="16"/>
                <w:lang w:val="en-CA"/>
              </w:rPr>
              <w:t xml:space="preserve">Not clearly addressed </w:t>
            </w:r>
          </w:p>
          <w:p w:rsidR="003D11BA" w:rsidRDefault="003D11BA" w:rsidP="00212E31">
            <w:pPr>
              <w:autoSpaceDE w:val="0"/>
              <w:autoSpaceDN w:val="0"/>
              <w:adjustRightInd w:val="0"/>
              <w:rPr>
                <w:rFonts w:ascii="Calibri" w:hAnsi="Calibri" w:cs="Calibri"/>
                <w:color w:val="000000"/>
                <w:sz w:val="16"/>
                <w:szCs w:val="16"/>
                <w:lang w:val="en-CA"/>
              </w:rPr>
            </w:pPr>
          </w:p>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 xml:space="preserve">Verify </w:t>
            </w:r>
          </w:p>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b</w:t>
            </w:r>
            <w:r w:rsidRPr="00340FC3">
              <w:rPr>
                <w:rFonts w:ascii="Calibri" w:hAnsi="Calibri" w:cs="Calibri"/>
                <w:color w:val="000000"/>
                <w:sz w:val="16"/>
                <w:szCs w:val="16"/>
                <w:lang w:val="en-CA"/>
              </w:rPr>
              <w:t>ackground fluorescence</w:t>
            </w:r>
            <w:r>
              <w:rPr>
                <w:rFonts w:ascii="Calibri" w:hAnsi="Calibri" w:cs="Calibri"/>
                <w:color w:val="000000"/>
                <w:sz w:val="16"/>
                <w:szCs w:val="16"/>
                <w:lang w:val="en-CA"/>
              </w:rPr>
              <w:t xml:space="preserve"> using 1 negative sample</w:t>
            </w:r>
          </w:p>
          <w:p w:rsidR="003D11BA" w:rsidRDefault="003D11BA" w:rsidP="00212E31">
            <w:pPr>
              <w:rPr>
                <w:lang w:val="en-CA"/>
              </w:rPr>
            </w:pPr>
          </w:p>
        </w:tc>
        <w:tc>
          <w:tcPr>
            <w:tcW w:w="1417" w:type="dxa"/>
          </w:tcPr>
          <w:p w:rsidR="003D11BA" w:rsidRPr="00146F0F" w:rsidRDefault="003D11BA" w:rsidP="00212E31">
            <w:pPr>
              <w:rPr>
                <w:lang w:val="en-CA"/>
              </w:rPr>
            </w:pPr>
            <w:r>
              <w:rPr>
                <w:rFonts w:ascii="Calibri" w:hAnsi="Calibri" w:cs="Calibri"/>
                <w:b/>
                <w:color w:val="000000"/>
                <w:sz w:val="16"/>
                <w:szCs w:val="16"/>
                <w:lang w:val="en-CA"/>
              </w:rPr>
              <w:t>Not addressed</w:t>
            </w:r>
            <w:r w:rsidRPr="00146F0F">
              <w:rPr>
                <w:lang w:val="en-CA"/>
              </w:rPr>
              <w:t xml:space="preserve"> </w:t>
            </w:r>
          </w:p>
        </w:tc>
        <w:tc>
          <w:tcPr>
            <w:tcW w:w="1134" w:type="dxa"/>
          </w:tcPr>
          <w:p w:rsidR="003D11BA" w:rsidRDefault="003D11BA" w:rsidP="00212E31">
            <w:pPr>
              <w:rPr>
                <w:lang w:val="en-CA"/>
              </w:rPr>
            </w:pPr>
            <w:r>
              <w:rPr>
                <w:rFonts w:ascii="Calibri" w:hAnsi="Calibri" w:cs="Calibri"/>
                <w:b/>
                <w:color w:val="000000"/>
                <w:sz w:val="16"/>
                <w:szCs w:val="16"/>
                <w:lang w:val="en-CA"/>
              </w:rPr>
              <w:t>Not addressed</w:t>
            </w:r>
          </w:p>
        </w:tc>
        <w:tc>
          <w:tcPr>
            <w:tcW w:w="3827" w:type="dxa"/>
          </w:tcPr>
          <w:p w:rsidR="003D11BA" w:rsidRPr="00470352" w:rsidRDefault="003D11BA" w:rsidP="00212E31">
            <w:pPr>
              <w:rPr>
                <w:rFonts w:ascii="Calibri" w:hAnsi="Calibri" w:cs="Calibri"/>
                <w:color w:val="000000"/>
                <w:sz w:val="16"/>
                <w:szCs w:val="16"/>
                <w:u w:val="single"/>
                <w:lang w:val="en-CA"/>
              </w:rPr>
            </w:pPr>
            <w:r w:rsidRPr="00470352">
              <w:rPr>
                <w:rFonts w:ascii="Calibri" w:hAnsi="Calibri" w:cs="Calibri"/>
                <w:color w:val="000000"/>
                <w:sz w:val="16"/>
                <w:szCs w:val="16"/>
                <w:u w:val="single"/>
                <w:lang w:val="en-CA"/>
              </w:rPr>
              <w:t>For Hep-2 IIF/ELISA:</w:t>
            </w:r>
          </w:p>
          <w:p w:rsidR="003D11BA" w:rsidRDefault="003D11BA" w:rsidP="00212E31">
            <w:pPr>
              <w:rPr>
                <w:rFonts w:ascii="Calibri" w:hAnsi="Calibri" w:cs="Calibri"/>
                <w:color w:val="000000"/>
                <w:sz w:val="16"/>
                <w:szCs w:val="16"/>
                <w:lang w:val="en-CA"/>
              </w:rPr>
            </w:pPr>
            <w:r>
              <w:rPr>
                <w:rFonts w:ascii="Calibri" w:hAnsi="Calibri" w:cs="Calibri"/>
                <w:color w:val="000000"/>
                <w:sz w:val="16"/>
                <w:szCs w:val="16"/>
                <w:lang w:val="en-CA"/>
              </w:rPr>
              <w:t>Establish reference interval with lab specific microscope/optical set-up (use of optical slide standard recommended).</w:t>
            </w:r>
          </w:p>
          <w:p w:rsidR="003D11BA" w:rsidRDefault="003D11BA" w:rsidP="00212E31">
            <w:pPr>
              <w:rPr>
                <w:lang w:val="en-CA"/>
              </w:rPr>
            </w:pPr>
            <w:r>
              <w:rPr>
                <w:rFonts w:ascii="Calibri" w:hAnsi="Calibri" w:cs="Calibri"/>
                <w:color w:val="000000"/>
                <w:sz w:val="16"/>
                <w:szCs w:val="16"/>
                <w:lang w:val="en-CA"/>
              </w:rPr>
              <w:t>C</w:t>
            </w:r>
            <w:r w:rsidRPr="00261AFE">
              <w:rPr>
                <w:rFonts w:ascii="Calibri" w:hAnsi="Calibri" w:cs="Calibri"/>
                <w:color w:val="000000"/>
                <w:sz w:val="16"/>
                <w:szCs w:val="16"/>
                <w:lang w:val="en-CA"/>
              </w:rPr>
              <w:t xml:space="preserve">ut-off should be based upon patient </w:t>
            </w:r>
            <w:r>
              <w:rPr>
                <w:rFonts w:ascii="Calibri" w:hAnsi="Calibri" w:cs="Calibri"/>
                <w:color w:val="000000"/>
                <w:sz w:val="16"/>
                <w:szCs w:val="16"/>
                <w:lang w:val="en-CA"/>
              </w:rPr>
              <w:t>population. Refinement of reference range by lab is advised  (e.g. defining different levels of positivity associated with increased probabilities of detecting specific antibodies)</w:t>
            </w:r>
          </w:p>
        </w:tc>
        <w:tc>
          <w:tcPr>
            <w:tcW w:w="2268" w:type="dxa"/>
          </w:tcPr>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 xml:space="preserve">Verify </w:t>
            </w:r>
          </w:p>
          <w:p w:rsidR="003D11BA" w:rsidRPr="00061537" w:rsidRDefault="003D11BA" w:rsidP="003D11BA">
            <w:pPr>
              <w:pStyle w:val="ListParagraph"/>
              <w:numPr>
                <w:ilvl w:val="0"/>
                <w:numId w:val="36"/>
              </w:numPr>
              <w:autoSpaceDE w:val="0"/>
              <w:autoSpaceDN w:val="0"/>
              <w:adjustRightInd w:val="0"/>
              <w:ind w:left="317" w:hanging="284"/>
              <w:rPr>
                <w:rFonts w:ascii="Calibri" w:hAnsi="Calibri" w:cs="Calibri"/>
                <w:color w:val="000000"/>
                <w:sz w:val="16"/>
                <w:szCs w:val="16"/>
                <w:lang w:val="en-CA"/>
              </w:rPr>
            </w:pPr>
            <w:r w:rsidRPr="00061537">
              <w:rPr>
                <w:rFonts w:ascii="Calibri" w:hAnsi="Calibri" w:cs="Calibri"/>
                <w:color w:val="000000"/>
                <w:sz w:val="16"/>
                <w:szCs w:val="16"/>
                <w:lang w:val="en-CA"/>
              </w:rPr>
              <w:t>Starting dilution for IIF</w:t>
            </w:r>
          </w:p>
          <w:p w:rsidR="003D11BA" w:rsidRPr="00061537" w:rsidRDefault="003D11BA" w:rsidP="003D11BA">
            <w:pPr>
              <w:pStyle w:val="ListParagraph"/>
              <w:numPr>
                <w:ilvl w:val="0"/>
                <w:numId w:val="36"/>
              </w:numPr>
              <w:autoSpaceDE w:val="0"/>
              <w:autoSpaceDN w:val="0"/>
              <w:adjustRightInd w:val="0"/>
              <w:ind w:left="317" w:hanging="284"/>
              <w:rPr>
                <w:rFonts w:ascii="Calibri" w:hAnsi="Calibri" w:cs="Calibri"/>
                <w:color w:val="000000"/>
                <w:sz w:val="16"/>
                <w:szCs w:val="16"/>
                <w:lang w:val="en-CA"/>
              </w:rPr>
            </w:pPr>
            <w:r w:rsidRPr="00061537">
              <w:rPr>
                <w:sz w:val="16"/>
                <w:szCs w:val="16"/>
                <w:lang w:val="en-CA"/>
              </w:rPr>
              <w:t>Manufacturers’ cut-offs; published reference limits (</w:t>
            </w:r>
            <w:r>
              <w:rPr>
                <w:sz w:val="16"/>
                <w:szCs w:val="16"/>
                <w:lang w:val="en-CA"/>
              </w:rPr>
              <w:t>as most semi-</w:t>
            </w:r>
            <w:r w:rsidRPr="00061537">
              <w:rPr>
                <w:sz w:val="16"/>
                <w:szCs w:val="16"/>
                <w:lang w:val="en-CA"/>
              </w:rPr>
              <w:t>quantitative methods are CE-IVD)</w:t>
            </w:r>
          </w:p>
          <w:p w:rsidR="003D11BA" w:rsidRDefault="003D11BA" w:rsidP="00212E31">
            <w:pPr>
              <w:rPr>
                <w:lang w:val="en-CA"/>
              </w:rPr>
            </w:pPr>
          </w:p>
        </w:tc>
        <w:tc>
          <w:tcPr>
            <w:tcW w:w="3119" w:type="dxa"/>
          </w:tcPr>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Verify reference ranges</w:t>
            </w:r>
          </w:p>
          <w:p w:rsidR="003D11BA" w:rsidRDefault="003D11BA" w:rsidP="00212E31">
            <w:pPr>
              <w:rPr>
                <w:sz w:val="16"/>
                <w:szCs w:val="16"/>
                <w:lang w:val="en-CA"/>
              </w:rPr>
            </w:pPr>
          </w:p>
          <w:p w:rsidR="003D11BA" w:rsidRDefault="003D11BA" w:rsidP="00212E31">
            <w:pPr>
              <w:rPr>
                <w:lang w:val="en-CA"/>
              </w:rPr>
            </w:pPr>
            <w:r>
              <w:rPr>
                <w:sz w:val="16"/>
                <w:szCs w:val="16"/>
                <w:lang w:val="en-CA"/>
              </w:rPr>
              <w:t>Clinical sensitivity/specificity: no local verification needed, data from multicentre validation studies can be used</w:t>
            </w:r>
          </w:p>
        </w:tc>
      </w:tr>
      <w:tr w:rsidR="003D11BA" w:rsidRPr="00CA415F" w:rsidTr="00212E31">
        <w:tc>
          <w:tcPr>
            <w:tcW w:w="1129" w:type="dxa"/>
            <w:shd w:val="clear" w:color="auto" w:fill="D0CECE" w:themeFill="background2" w:themeFillShade="E6"/>
          </w:tcPr>
          <w:p w:rsidR="003D11BA"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Other verification requirements addressed</w:t>
            </w:r>
          </w:p>
          <w:p w:rsidR="003D11BA" w:rsidRDefault="003D11BA" w:rsidP="00212E31">
            <w:pPr>
              <w:rPr>
                <w:lang w:val="en-CA"/>
              </w:rPr>
            </w:pPr>
          </w:p>
        </w:tc>
        <w:tc>
          <w:tcPr>
            <w:tcW w:w="1560" w:type="dxa"/>
          </w:tcPr>
          <w:p w:rsidR="003D11BA"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Verify:</w:t>
            </w:r>
          </w:p>
          <w:p w:rsidR="003D11BA" w:rsidRPr="00340FC3"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 xml:space="preserve">- cell </w:t>
            </w:r>
            <w:r w:rsidRPr="00340FC3">
              <w:rPr>
                <w:rFonts w:ascii="Calibri" w:hAnsi="Calibri" w:cs="Calibri"/>
                <w:color w:val="000000"/>
                <w:sz w:val="16"/>
                <w:szCs w:val="16"/>
                <w:lang w:val="en-CA"/>
              </w:rPr>
              <w:t>density</w:t>
            </w:r>
            <w:r>
              <w:rPr>
                <w:rFonts w:ascii="Calibri" w:hAnsi="Calibri" w:cs="Calibri"/>
                <w:color w:val="000000"/>
                <w:sz w:val="16"/>
                <w:szCs w:val="16"/>
                <w:lang w:val="en-CA"/>
              </w:rPr>
              <w:t>,</w:t>
            </w:r>
            <w:r w:rsidRPr="00340FC3">
              <w:rPr>
                <w:rFonts w:ascii="Calibri" w:hAnsi="Calibri" w:cs="Calibri"/>
                <w:color w:val="000000"/>
                <w:sz w:val="16"/>
                <w:szCs w:val="16"/>
                <w:lang w:val="en-CA"/>
              </w:rPr>
              <w:t xml:space="preserve"> dis</w:t>
            </w:r>
            <w:r>
              <w:rPr>
                <w:rFonts w:ascii="Calibri" w:hAnsi="Calibri" w:cs="Calibri"/>
                <w:color w:val="000000"/>
                <w:sz w:val="16"/>
                <w:szCs w:val="16"/>
                <w:lang w:val="en-CA"/>
              </w:rPr>
              <w:t xml:space="preserve">tribution, </w:t>
            </w:r>
            <w:r w:rsidRPr="00340FC3">
              <w:rPr>
                <w:rFonts w:ascii="Calibri" w:hAnsi="Calibri" w:cs="Calibri"/>
                <w:color w:val="000000"/>
                <w:sz w:val="16"/>
                <w:szCs w:val="16"/>
                <w:lang w:val="en-CA"/>
              </w:rPr>
              <w:t>morphology</w:t>
            </w:r>
          </w:p>
          <w:p w:rsidR="003D11BA" w:rsidRPr="00340FC3" w:rsidRDefault="003D11BA" w:rsidP="00212E31">
            <w:pPr>
              <w:autoSpaceDE w:val="0"/>
              <w:autoSpaceDN w:val="0"/>
              <w:adjustRightInd w:val="0"/>
              <w:rPr>
                <w:rFonts w:ascii="Calibri" w:hAnsi="Calibri" w:cs="Calibri"/>
                <w:color w:val="000000"/>
                <w:sz w:val="16"/>
                <w:szCs w:val="16"/>
                <w:lang w:val="en-CA"/>
              </w:rPr>
            </w:pPr>
            <w:r>
              <w:rPr>
                <w:rFonts w:ascii="Calibri" w:hAnsi="Calibri" w:cs="Calibri"/>
                <w:color w:val="000000"/>
                <w:sz w:val="16"/>
                <w:szCs w:val="16"/>
                <w:lang w:val="en-CA"/>
              </w:rPr>
              <w:t>- n</w:t>
            </w:r>
            <w:r w:rsidRPr="00340FC3">
              <w:rPr>
                <w:rFonts w:ascii="Calibri" w:hAnsi="Calibri" w:cs="Calibri"/>
                <w:color w:val="000000"/>
                <w:sz w:val="16"/>
                <w:szCs w:val="16"/>
                <w:lang w:val="en-CA"/>
              </w:rPr>
              <w:t>umber mitotic cells (3 – 5/field at 200x)</w:t>
            </w:r>
          </w:p>
          <w:p w:rsidR="003D11BA" w:rsidRDefault="003D11BA" w:rsidP="00212E31">
            <w:pPr>
              <w:jc w:val="center"/>
              <w:rPr>
                <w:lang w:val="en-CA"/>
              </w:rPr>
            </w:pPr>
          </w:p>
        </w:tc>
        <w:tc>
          <w:tcPr>
            <w:tcW w:w="1417" w:type="dxa"/>
          </w:tcPr>
          <w:p w:rsidR="003D11BA" w:rsidRPr="00A01850"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 xml:space="preserve">No other verification requirements </w:t>
            </w:r>
            <w:r w:rsidRPr="00A01850">
              <w:rPr>
                <w:rFonts w:ascii="Calibri" w:hAnsi="Calibri" w:cs="Calibri"/>
                <w:b/>
                <w:color w:val="000000"/>
                <w:sz w:val="16"/>
                <w:szCs w:val="16"/>
                <w:lang w:val="en-CA"/>
              </w:rPr>
              <w:t>ad</w:t>
            </w:r>
            <w:r>
              <w:rPr>
                <w:rFonts w:ascii="Calibri" w:hAnsi="Calibri" w:cs="Calibri"/>
                <w:b/>
                <w:color w:val="000000"/>
                <w:sz w:val="16"/>
                <w:szCs w:val="16"/>
                <w:lang w:val="en-CA"/>
              </w:rPr>
              <w:t>d</w:t>
            </w:r>
            <w:r w:rsidRPr="00A01850">
              <w:rPr>
                <w:rFonts w:ascii="Calibri" w:hAnsi="Calibri" w:cs="Calibri"/>
                <w:b/>
                <w:color w:val="000000"/>
                <w:sz w:val="16"/>
                <w:szCs w:val="16"/>
                <w:lang w:val="en-CA"/>
              </w:rPr>
              <w:t>ressed</w:t>
            </w:r>
          </w:p>
        </w:tc>
        <w:tc>
          <w:tcPr>
            <w:tcW w:w="1134" w:type="dxa"/>
          </w:tcPr>
          <w:p w:rsidR="003D11BA" w:rsidRPr="00A01850" w:rsidRDefault="003D11BA" w:rsidP="00212E31">
            <w:pPr>
              <w:rPr>
                <w:rFonts w:ascii="Calibri" w:hAnsi="Calibri" w:cs="Calibri"/>
                <w:b/>
                <w:color w:val="000000"/>
                <w:sz w:val="16"/>
                <w:szCs w:val="16"/>
                <w:lang w:val="en-CA"/>
              </w:rPr>
            </w:pPr>
            <w:r>
              <w:rPr>
                <w:rFonts w:ascii="Calibri" w:hAnsi="Calibri" w:cs="Calibri"/>
                <w:b/>
                <w:color w:val="000000"/>
                <w:sz w:val="16"/>
                <w:szCs w:val="16"/>
                <w:lang w:val="en-CA"/>
              </w:rPr>
              <w:t xml:space="preserve">No other verification requirements </w:t>
            </w:r>
            <w:r w:rsidRPr="00A01850">
              <w:rPr>
                <w:rFonts w:ascii="Calibri" w:hAnsi="Calibri" w:cs="Calibri"/>
                <w:b/>
                <w:color w:val="000000"/>
                <w:sz w:val="16"/>
                <w:szCs w:val="16"/>
                <w:lang w:val="en-CA"/>
              </w:rPr>
              <w:t>a</w:t>
            </w:r>
            <w:r>
              <w:rPr>
                <w:rFonts w:ascii="Calibri" w:hAnsi="Calibri" w:cs="Calibri"/>
                <w:b/>
                <w:color w:val="000000"/>
                <w:sz w:val="16"/>
                <w:szCs w:val="16"/>
                <w:lang w:val="en-CA"/>
              </w:rPr>
              <w:t>d</w:t>
            </w:r>
            <w:r w:rsidRPr="00A01850">
              <w:rPr>
                <w:rFonts w:ascii="Calibri" w:hAnsi="Calibri" w:cs="Calibri"/>
                <w:b/>
                <w:color w:val="000000"/>
                <w:sz w:val="16"/>
                <w:szCs w:val="16"/>
                <w:lang w:val="en-CA"/>
              </w:rPr>
              <w:t>dressed</w:t>
            </w:r>
          </w:p>
        </w:tc>
        <w:tc>
          <w:tcPr>
            <w:tcW w:w="3827" w:type="dxa"/>
          </w:tcPr>
          <w:p w:rsidR="003D11BA" w:rsidRDefault="003D11BA" w:rsidP="00212E31">
            <w:pPr>
              <w:autoSpaceDE w:val="0"/>
              <w:autoSpaceDN w:val="0"/>
              <w:adjustRightInd w:val="0"/>
              <w:rPr>
                <w:rFonts w:ascii="Calibri" w:hAnsi="Calibri" w:cs="Calibri"/>
                <w:color w:val="000000"/>
                <w:sz w:val="16"/>
                <w:szCs w:val="16"/>
                <w:lang w:val="en-CA"/>
              </w:rPr>
            </w:pPr>
            <w:r w:rsidRPr="00470352">
              <w:rPr>
                <w:rFonts w:ascii="Calibri" w:hAnsi="Calibri" w:cs="Calibri"/>
                <w:color w:val="000000"/>
                <w:sz w:val="16"/>
                <w:szCs w:val="16"/>
                <w:u w:val="single"/>
                <w:lang w:val="en-CA"/>
              </w:rPr>
              <w:t>For ELISA</w:t>
            </w:r>
            <w:r>
              <w:rPr>
                <w:rFonts w:ascii="Calibri" w:hAnsi="Calibri" w:cs="Calibri"/>
                <w:color w:val="000000"/>
                <w:sz w:val="16"/>
                <w:szCs w:val="16"/>
                <w:lang w:val="en-CA"/>
              </w:rPr>
              <w:t xml:space="preserve">: verify additionally , whenever possible: </w:t>
            </w:r>
            <w:r w:rsidRPr="00A01850">
              <w:rPr>
                <w:rFonts w:ascii="Calibri" w:hAnsi="Calibri" w:cs="Calibri"/>
                <w:color w:val="000000"/>
                <w:sz w:val="16"/>
                <w:szCs w:val="16"/>
                <w:lang w:val="en-CA"/>
              </w:rPr>
              <w:t>reportable range/linearity/ LOD/ Interferences/ clinical sensitivity and specificity</w:t>
            </w:r>
            <w:r>
              <w:rPr>
                <w:rFonts w:ascii="Calibri" w:hAnsi="Calibri" w:cs="Calibri"/>
                <w:color w:val="000000"/>
                <w:sz w:val="16"/>
                <w:szCs w:val="16"/>
                <w:lang w:val="en-CA"/>
              </w:rPr>
              <w:t>/ carry-over(w</w:t>
            </w:r>
            <w:r w:rsidRPr="00A01850">
              <w:rPr>
                <w:rFonts w:ascii="Calibri" w:hAnsi="Calibri" w:cs="Calibri"/>
                <w:color w:val="000000"/>
                <w:sz w:val="16"/>
                <w:szCs w:val="16"/>
                <w:lang w:val="en-CA"/>
              </w:rPr>
              <w:t>hen using an aut</w:t>
            </w:r>
            <w:r>
              <w:rPr>
                <w:rFonts w:ascii="Calibri" w:hAnsi="Calibri" w:cs="Calibri"/>
                <w:color w:val="000000"/>
                <w:sz w:val="16"/>
                <w:szCs w:val="16"/>
                <w:lang w:val="en-CA"/>
              </w:rPr>
              <w:t>omated system)</w:t>
            </w:r>
          </w:p>
          <w:p w:rsidR="003D11BA" w:rsidRDefault="003D11BA" w:rsidP="00212E31">
            <w:pPr>
              <w:autoSpaceDE w:val="0"/>
              <w:autoSpaceDN w:val="0"/>
              <w:adjustRightInd w:val="0"/>
              <w:rPr>
                <w:rFonts w:ascii="Calibri" w:hAnsi="Calibri" w:cs="Calibri"/>
                <w:color w:val="000000"/>
                <w:sz w:val="16"/>
                <w:szCs w:val="16"/>
                <w:lang w:val="en-CA"/>
              </w:rPr>
            </w:pPr>
          </w:p>
          <w:p w:rsidR="003D11BA" w:rsidRPr="00A01850" w:rsidRDefault="003D11BA" w:rsidP="00212E31">
            <w:pPr>
              <w:autoSpaceDE w:val="0"/>
              <w:autoSpaceDN w:val="0"/>
              <w:adjustRightInd w:val="0"/>
              <w:rPr>
                <w:rFonts w:ascii="Calibri" w:hAnsi="Calibri" w:cs="Calibri"/>
                <w:color w:val="000000"/>
                <w:sz w:val="16"/>
                <w:szCs w:val="16"/>
                <w:lang w:val="en-CA"/>
              </w:rPr>
            </w:pPr>
          </w:p>
          <w:p w:rsidR="003D11BA" w:rsidRPr="00A01850" w:rsidRDefault="003D11BA" w:rsidP="00212E31">
            <w:pPr>
              <w:autoSpaceDE w:val="0"/>
              <w:autoSpaceDN w:val="0"/>
              <w:adjustRightInd w:val="0"/>
              <w:rPr>
                <w:rFonts w:ascii="Calibri" w:hAnsi="Calibri" w:cs="Calibri"/>
                <w:color w:val="000000"/>
                <w:sz w:val="16"/>
                <w:szCs w:val="16"/>
                <w:lang w:val="en-CA"/>
              </w:rPr>
            </w:pPr>
            <w:r w:rsidRPr="00A01850">
              <w:rPr>
                <w:rFonts w:ascii="Calibri" w:hAnsi="Calibri" w:cs="Calibri"/>
                <w:color w:val="000000"/>
                <w:sz w:val="16"/>
                <w:szCs w:val="16"/>
                <w:u w:val="single"/>
                <w:lang w:val="en-CA"/>
              </w:rPr>
              <w:t>For Hep-2 IIF</w:t>
            </w:r>
            <w:r w:rsidRPr="00A01850">
              <w:rPr>
                <w:rFonts w:ascii="Calibri" w:hAnsi="Calibri" w:cs="Calibri"/>
                <w:color w:val="000000"/>
                <w:sz w:val="16"/>
                <w:szCs w:val="16"/>
                <w:lang w:val="en-CA"/>
              </w:rPr>
              <w:t xml:space="preserve">: the lab should titrate conjugates using </w:t>
            </w:r>
            <w:r>
              <w:rPr>
                <w:rFonts w:ascii="Calibri" w:hAnsi="Calibri" w:cs="Calibri"/>
                <w:color w:val="000000"/>
                <w:sz w:val="16"/>
                <w:szCs w:val="16"/>
                <w:lang w:val="en-CA"/>
              </w:rPr>
              <w:t xml:space="preserve">known </w:t>
            </w:r>
            <w:r w:rsidRPr="00A01850">
              <w:rPr>
                <w:rFonts w:ascii="Calibri" w:hAnsi="Calibri" w:cs="Calibri"/>
                <w:color w:val="000000"/>
                <w:sz w:val="16"/>
                <w:szCs w:val="16"/>
                <w:lang w:val="en-CA"/>
              </w:rPr>
              <w:t>positive sera (chessboard titration</w:t>
            </w:r>
            <w:r>
              <w:rPr>
                <w:rFonts w:ascii="Calibri" w:hAnsi="Calibri" w:cs="Calibri"/>
                <w:color w:val="000000"/>
                <w:sz w:val="16"/>
                <w:szCs w:val="16"/>
                <w:lang w:val="en-CA"/>
              </w:rPr>
              <w:t xml:space="preserve"> in comparison with reference conjugates)</w:t>
            </w:r>
          </w:p>
        </w:tc>
        <w:tc>
          <w:tcPr>
            <w:tcW w:w="2268" w:type="dxa"/>
          </w:tcPr>
          <w:p w:rsidR="003D11BA" w:rsidRPr="00AD23B9" w:rsidRDefault="003D11BA" w:rsidP="00212E31">
            <w:pPr>
              <w:autoSpaceDE w:val="0"/>
              <w:autoSpaceDN w:val="0"/>
              <w:adjustRightInd w:val="0"/>
              <w:rPr>
                <w:sz w:val="16"/>
                <w:szCs w:val="16"/>
                <w:lang w:val="en-CA"/>
              </w:rPr>
            </w:pPr>
            <w:r>
              <w:rPr>
                <w:sz w:val="16"/>
                <w:szCs w:val="16"/>
                <w:lang w:val="en-CA"/>
              </w:rPr>
              <w:t>Less relevant when applying CE-IVD: linearity and measuring range, Hook-effect or prozoning, interferences, carry-over and general handling issues like robustness</w:t>
            </w:r>
          </w:p>
        </w:tc>
        <w:tc>
          <w:tcPr>
            <w:tcW w:w="3119" w:type="dxa"/>
          </w:tcPr>
          <w:p w:rsidR="003D11BA" w:rsidRDefault="003D11BA" w:rsidP="00212E31">
            <w:pPr>
              <w:rPr>
                <w:sz w:val="16"/>
                <w:szCs w:val="16"/>
                <w:lang w:val="en-CA"/>
              </w:rPr>
            </w:pPr>
            <w:r>
              <w:rPr>
                <w:sz w:val="16"/>
                <w:szCs w:val="16"/>
                <w:lang w:val="en-CA"/>
              </w:rPr>
              <w:t xml:space="preserve">Performance characteristics additionally addressed: interfering substances; LOQ/LOD; stability; measuring interval. </w:t>
            </w:r>
          </w:p>
          <w:p w:rsidR="003D11BA" w:rsidRDefault="003D11BA" w:rsidP="00212E31">
            <w:pPr>
              <w:rPr>
                <w:sz w:val="16"/>
                <w:szCs w:val="16"/>
                <w:lang w:val="en-CA"/>
              </w:rPr>
            </w:pPr>
          </w:p>
          <w:p w:rsidR="003D11BA" w:rsidRDefault="003D11BA" w:rsidP="00212E31">
            <w:pPr>
              <w:rPr>
                <w:sz w:val="16"/>
                <w:szCs w:val="16"/>
                <w:lang w:val="en-CA"/>
              </w:rPr>
            </w:pPr>
            <w:r>
              <w:rPr>
                <w:sz w:val="16"/>
                <w:szCs w:val="16"/>
                <w:lang w:val="en-CA"/>
              </w:rPr>
              <w:t>If argued, some verification requirements may be achieved by documentation only (</w:t>
            </w:r>
            <w:r w:rsidRPr="00D4094E">
              <w:rPr>
                <w:sz w:val="16"/>
                <w:szCs w:val="16"/>
                <w:lang w:val="en-CA"/>
              </w:rPr>
              <w:t xml:space="preserve">without experimental acquisition of </w:t>
            </w:r>
            <w:r>
              <w:rPr>
                <w:sz w:val="16"/>
                <w:szCs w:val="16"/>
                <w:lang w:val="en-CA"/>
              </w:rPr>
              <w:t xml:space="preserve">new data) </w:t>
            </w:r>
          </w:p>
          <w:p w:rsidR="003D11BA" w:rsidRPr="00AD23B9" w:rsidRDefault="003D11BA" w:rsidP="00212E31">
            <w:pPr>
              <w:rPr>
                <w:sz w:val="16"/>
                <w:szCs w:val="16"/>
                <w:lang w:val="en-CA"/>
              </w:rPr>
            </w:pPr>
            <w:r>
              <w:rPr>
                <w:sz w:val="16"/>
                <w:szCs w:val="16"/>
                <w:lang w:val="en-CA"/>
              </w:rPr>
              <w:t>Performance characteristics that can be influenced by the working environment need to be verified locally (e.g. pipetting precision)....</w:t>
            </w:r>
          </w:p>
        </w:tc>
      </w:tr>
    </w:tbl>
    <w:p w:rsidR="003D11BA" w:rsidRPr="00F029D4" w:rsidRDefault="003D11BA">
      <w:pPr>
        <w:rPr>
          <w:b/>
          <w:lang w:val="en-CA"/>
        </w:rPr>
      </w:pPr>
      <w:r w:rsidRPr="00F029D4">
        <w:rPr>
          <w:b/>
          <w:lang w:val="en-CA"/>
        </w:rPr>
        <w:lastRenderedPageBreak/>
        <w:t>Table 3 Overview of recommendations/statements on methodological aspects</w:t>
      </w:r>
    </w:p>
    <w:tbl>
      <w:tblPr>
        <w:tblStyle w:val="TableGrid"/>
        <w:tblW w:w="15163" w:type="dxa"/>
        <w:tblLayout w:type="fixed"/>
        <w:tblLook w:val="04A0" w:firstRow="1" w:lastRow="0" w:firstColumn="1" w:lastColumn="0" w:noHBand="0" w:noVBand="1"/>
      </w:tblPr>
      <w:tblGrid>
        <w:gridCol w:w="704"/>
        <w:gridCol w:w="8930"/>
        <w:gridCol w:w="851"/>
        <w:gridCol w:w="3402"/>
        <w:gridCol w:w="1276"/>
      </w:tblGrid>
      <w:tr w:rsidR="003D11BA" w:rsidRPr="003C5C89" w:rsidTr="00212E31">
        <w:tc>
          <w:tcPr>
            <w:tcW w:w="704" w:type="dxa"/>
            <w:shd w:val="clear" w:color="auto" w:fill="AEAAAA" w:themeFill="background2" w:themeFillShade="BF"/>
          </w:tcPr>
          <w:p w:rsidR="003D11BA" w:rsidRDefault="003D11BA" w:rsidP="00212E31">
            <w:pPr>
              <w:rPr>
                <w:b/>
                <w:lang w:val="en-CA"/>
              </w:rPr>
            </w:pPr>
          </w:p>
        </w:tc>
        <w:tc>
          <w:tcPr>
            <w:tcW w:w="8930" w:type="dxa"/>
            <w:shd w:val="clear" w:color="auto" w:fill="AEAAAA" w:themeFill="background2" w:themeFillShade="BF"/>
          </w:tcPr>
          <w:p w:rsidR="003D11BA" w:rsidRPr="00EC1B8C" w:rsidRDefault="003D11BA" w:rsidP="00212E31">
            <w:pPr>
              <w:rPr>
                <w:b/>
                <w:lang w:val="en-CA"/>
              </w:rPr>
            </w:pPr>
            <w:r>
              <w:rPr>
                <w:b/>
                <w:lang w:val="en-CA"/>
              </w:rPr>
              <w:t xml:space="preserve">ANA </w:t>
            </w:r>
            <w:r w:rsidRPr="00EC1B8C">
              <w:rPr>
                <w:b/>
                <w:lang w:val="en-CA"/>
              </w:rPr>
              <w:t>methodolog</w:t>
            </w:r>
            <w:r>
              <w:rPr>
                <w:b/>
                <w:lang w:val="en-CA"/>
              </w:rPr>
              <w:t>ical aspects</w:t>
            </w:r>
          </w:p>
        </w:tc>
        <w:tc>
          <w:tcPr>
            <w:tcW w:w="851" w:type="dxa"/>
            <w:shd w:val="clear" w:color="auto" w:fill="AEAAAA" w:themeFill="background2" w:themeFillShade="BF"/>
          </w:tcPr>
          <w:p w:rsidR="003D11BA" w:rsidRDefault="003D11BA" w:rsidP="00212E31">
            <w:pPr>
              <w:jc w:val="center"/>
              <w:rPr>
                <w:b/>
                <w:lang w:val="en-CA"/>
              </w:rPr>
            </w:pPr>
            <w:r>
              <w:rPr>
                <w:b/>
                <w:lang w:val="en-CA"/>
              </w:rPr>
              <w:t>Grade</w:t>
            </w:r>
          </w:p>
        </w:tc>
        <w:tc>
          <w:tcPr>
            <w:tcW w:w="3402" w:type="dxa"/>
            <w:shd w:val="clear" w:color="auto" w:fill="AEAAAA" w:themeFill="background2" w:themeFillShade="BF"/>
          </w:tcPr>
          <w:p w:rsidR="003D11BA" w:rsidRDefault="003D11BA" w:rsidP="00212E31">
            <w:pPr>
              <w:jc w:val="center"/>
              <w:rPr>
                <w:b/>
                <w:lang w:val="en-CA"/>
              </w:rPr>
            </w:pPr>
            <w:r>
              <w:rPr>
                <w:b/>
                <w:lang w:val="en-CA"/>
              </w:rPr>
              <w:t>References</w:t>
            </w:r>
          </w:p>
        </w:tc>
        <w:tc>
          <w:tcPr>
            <w:tcW w:w="1276" w:type="dxa"/>
            <w:shd w:val="clear" w:color="auto" w:fill="AEAAAA" w:themeFill="background2" w:themeFillShade="BF"/>
          </w:tcPr>
          <w:p w:rsidR="003D11BA" w:rsidRDefault="003D11BA" w:rsidP="00212E31">
            <w:pPr>
              <w:jc w:val="center"/>
              <w:rPr>
                <w:b/>
                <w:lang w:val="en-CA"/>
              </w:rPr>
            </w:pPr>
            <w:r>
              <w:rPr>
                <w:b/>
                <w:lang w:val="en-CA"/>
              </w:rPr>
              <w:t>Delphi score</w:t>
            </w:r>
          </w:p>
        </w:tc>
      </w:tr>
      <w:tr w:rsidR="003D11BA" w:rsidRPr="003C5C89" w:rsidTr="00212E31">
        <w:tc>
          <w:tcPr>
            <w:tcW w:w="704" w:type="dxa"/>
            <w:shd w:val="clear" w:color="auto" w:fill="AEAAAA" w:themeFill="background2" w:themeFillShade="BF"/>
          </w:tcPr>
          <w:p w:rsidR="003D11BA" w:rsidRDefault="003D11BA" w:rsidP="00212E31">
            <w:pPr>
              <w:rPr>
                <w:b/>
                <w:lang w:val="en-CA"/>
              </w:rPr>
            </w:pPr>
          </w:p>
        </w:tc>
        <w:tc>
          <w:tcPr>
            <w:tcW w:w="8930" w:type="dxa"/>
            <w:shd w:val="clear" w:color="auto" w:fill="AEAAAA" w:themeFill="background2" w:themeFillShade="BF"/>
          </w:tcPr>
          <w:p w:rsidR="003D11BA" w:rsidRDefault="003D11BA" w:rsidP="00212E31">
            <w:pPr>
              <w:rPr>
                <w:b/>
                <w:lang w:val="en-CA"/>
              </w:rPr>
            </w:pPr>
            <w:r>
              <w:rPr>
                <w:b/>
                <w:lang w:val="en-CA"/>
              </w:rPr>
              <w:t>ANA by Hep-2 IIF</w:t>
            </w:r>
          </w:p>
        </w:tc>
        <w:tc>
          <w:tcPr>
            <w:tcW w:w="851" w:type="dxa"/>
            <w:shd w:val="clear" w:color="auto" w:fill="AEAAAA" w:themeFill="background2" w:themeFillShade="BF"/>
          </w:tcPr>
          <w:p w:rsidR="003D11BA" w:rsidRDefault="003D11BA" w:rsidP="00212E31">
            <w:pPr>
              <w:jc w:val="center"/>
              <w:rPr>
                <w:b/>
                <w:lang w:val="en-CA"/>
              </w:rPr>
            </w:pPr>
          </w:p>
        </w:tc>
        <w:tc>
          <w:tcPr>
            <w:tcW w:w="3402" w:type="dxa"/>
            <w:shd w:val="clear" w:color="auto" w:fill="AEAAAA" w:themeFill="background2" w:themeFillShade="BF"/>
          </w:tcPr>
          <w:p w:rsidR="003D11BA" w:rsidRDefault="003D11BA" w:rsidP="00212E31">
            <w:pPr>
              <w:rPr>
                <w:b/>
                <w:lang w:val="en-CA"/>
              </w:rPr>
            </w:pPr>
          </w:p>
        </w:tc>
        <w:tc>
          <w:tcPr>
            <w:tcW w:w="1276" w:type="dxa"/>
            <w:shd w:val="clear" w:color="auto" w:fill="AEAAAA" w:themeFill="background2" w:themeFillShade="BF"/>
          </w:tcPr>
          <w:p w:rsidR="003D11BA" w:rsidRDefault="003D11BA" w:rsidP="00212E31">
            <w:pPr>
              <w:rPr>
                <w:b/>
                <w:lang w:val="en-CA"/>
              </w:rPr>
            </w:pPr>
          </w:p>
        </w:tc>
      </w:tr>
      <w:tr w:rsidR="003D11BA" w:rsidRPr="00EC0609" w:rsidTr="00212E31">
        <w:tc>
          <w:tcPr>
            <w:tcW w:w="704" w:type="dxa"/>
            <w:tcBorders>
              <w:bottom w:val="single" w:sz="4" w:space="0" w:color="auto"/>
            </w:tcBorders>
          </w:tcPr>
          <w:p w:rsidR="003D11BA" w:rsidRPr="00EB1C35" w:rsidRDefault="003D11BA" w:rsidP="00212E31">
            <w:pPr>
              <w:spacing w:before="120" w:after="120"/>
              <w:rPr>
                <w:lang w:val="en-US"/>
              </w:rPr>
            </w:pPr>
            <w:r>
              <w:rPr>
                <w:lang w:val="en-US"/>
              </w:rPr>
              <w:t>1</w:t>
            </w:r>
          </w:p>
        </w:tc>
        <w:tc>
          <w:tcPr>
            <w:tcW w:w="8930" w:type="dxa"/>
            <w:tcBorders>
              <w:bottom w:val="single" w:sz="4" w:space="0" w:color="auto"/>
            </w:tcBorders>
            <w:shd w:val="clear" w:color="auto" w:fill="auto"/>
          </w:tcPr>
          <w:p w:rsidR="003D11BA" w:rsidRPr="00F029D4" w:rsidRDefault="003D11BA" w:rsidP="00212E31">
            <w:pPr>
              <w:spacing w:before="120" w:after="120"/>
              <w:rPr>
                <w:lang w:val="en-US"/>
              </w:rPr>
            </w:pPr>
            <w:r w:rsidRPr="00F029D4">
              <w:rPr>
                <w:lang w:val="en-US"/>
              </w:rPr>
              <w:t xml:space="preserve">ANA by HEp-2 IIF should report the antibody titer, the pattern and the screenings dilution.  </w:t>
            </w:r>
          </w:p>
        </w:tc>
        <w:tc>
          <w:tcPr>
            <w:tcW w:w="851" w:type="dxa"/>
            <w:tcBorders>
              <w:bottom w:val="single" w:sz="4" w:space="0" w:color="auto"/>
            </w:tcBorders>
          </w:tcPr>
          <w:p w:rsidR="003D11BA" w:rsidRPr="00357A9F" w:rsidRDefault="003D11BA" w:rsidP="00212E31">
            <w:pPr>
              <w:spacing w:before="120" w:after="120"/>
              <w:jc w:val="center"/>
              <w:rPr>
                <w:lang w:val="en-US"/>
              </w:rPr>
            </w:pPr>
            <w:r>
              <w:rPr>
                <w:lang w:val="en-US"/>
              </w:rPr>
              <w:t>A</w:t>
            </w:r>
          </w:p>
        </w:tc>
        <w:tc>
          <w:tcPr>
            <w:tcW w:w="3402" w:type="dxa"/>
            <w:tcBorders>
              <w:bottom w:val="single" w:sz="4" w:space="0" w:color="auto"/>
            </w:tcBorders>
            <w:shd w:val="clear" w:color="auto" w:fill="auto"/>
          </w:tcPr>
          <w:p w:rsidR="003D11BA" w:rsidRPr="00357A9F" w:rsidRDefault="003D11BA" w:rsidP="00212E31">
            <w:pPr>
              <w:spacing w:before="120" w:after="120"/>
              <w:jc w:val="center"/>
              <w:rPr>
                <w:lang w:val="en-US"/>
              </w:rPr>
            </w:pPr>
            <w:r>
              <w:rPr>
                <w:lang w:val="en-US"/>
              </w:rPr>
              <w:t>(8), (41)</w:t>
            </w:r>
          </w:p>
        </w:tc>
        <w:tc>
          <w:tcPr>
            <w:tcW w:w="1276" w:type="dxa"/>
            <w:tcBorders>
              <w:bottom w:val="single" w:sz="4" w:space="0" w:color="auto"/>
            </w:tcBorders>
          </w:tcPr>
          <w:p w:rsidR="003D11BA" w:rsidRDefault="003D11BA" w:rsidP="00212E31">
            <w:pPr>
              <w:spacing w:before="120" w:after="120"/>
              <w:jc w:val="center"/>
              <w:rPr>
                <w:lang w:val="en-US"/>
              </w:rPr>
            </w:pPr>
          </w:p>
        </w:tc>
      </w:tr>
      <w:tr w:rsidR="003D11BA" w:rsidRPr="00CA415F" w:rsidTr="00212E31">
        <w:tc>
          <w:tcPr>
            <w:tcW w:w="704" w:type="dxa"/>
            <w:tcBorders>
              <w:bottom w:val="single" w:sz="4" w:space="0" w:color="auto"/>
            </w:tcBorders>
            <w:shd w:val="clear" w:color="auto" w:fill="EDEDED" w:themeFill="accent3" w:themeFillTint="33"/>
          </w:tcPr>
          <w:p w:rsidR="003D11BA" w:rsidRDefault="003D11BA" w:rsidP="00212E31">
            <w:pPr>
              <w:rPr>
                <w:i/>
                <w:lang w:val="en-US"/>
              </w:rPr>
            </w:pPr>
          </w:p>
        </w:tc>
        <w:tc>
          <w:tcPr>
            <w:tcW w:w="8930" w:type="dxa"/>
            <w:tcBorders>
              <w:bottom w:val="single" w:sz="4" w:space="0" w:color="auto"/>
            </w:tcBorders>
            <w:shd w:val="clear" w:color="auto" w:fill="EDEDED" w:themeFill="accent3" w:themeFillTint="33"/>
          </w:tcPr>
          <w:p w:rsidR="003D11BA" w:rsidRPr="00F029D4" w:rsidRDefault="003D11BA" w:rsidP="00212E31">
            <w:pPr>
              <w:rPr>
                <w:i/>
                <w:lang w:val="en-US"/>
              </w:rPr>
            </w:pPr>
            <w:r w:rsidRPr="00F029D4">
              <w:rPr>
                <w:i/>
                <w:lang w:val="en-US"/>
              </w:rPr>
              <w:t>Reference range and importance of titer</w:t>
            </w:r>
          </w:p>
        </w:tc>
        <w:tc>
          <w:tcPr>
            <w:tcW w:w="851" w:type="dxa"/>
            <w:tcBorders>
              <w:bottom w:val="single" w:sz="4" w:space="0" w:color="auto"/>
            </w:tcBorders>
            <w:shd w:val="clear" w:color="auto" w:fill="EDEDED" w:themeFill="accent3" w:themeFillTint="33"/>
          </w:tcPr>
          <w:p w:rsidR="003D11BA" w:rsidRPr="006328BC" w:rsidRDefault="003D11BA" w:rsidP="00212E31">
            <w:pPr>
              <w:jc w:val="center"/>
              <w:rPr>
                <w:i/>
                <w:lang w:val="en-US"/>
              </w:rPr>
            </w:pPr>
          </w:p>
        </w:tc>
        <w:tc>
          <w:tcPr>
            <w:tcW w:w="3402" w:type="dxa"/>
            <w:tcBorders>
              <w:bottom w:val="single" w:sz="4" w:space="0" w:color="auto"/>
            </w:tcBorders>
            <w:shd w:val="clear" w:color="auto" w:fill="EDEDED" w:themeFill="accent3" w:themeFillTint="33"/>
          </w:tcPr>
          <w:p w:rsidR="003D11BA" w:rsidRPr="006328BC" w:rsidRDefault="003D11BA" w:rsidP="00212E31">
            <w:pPr>
              <w:jc w:val="center"/>
              <w:rPr>
                <w:i/>
                <w:lang w:val="en-US"/>
              </w:rPr>
            </w:pPr>
          </w:p>
        </w:tc>
        <w:tc>
          <w:tcPr>
            <w:tcW w:w="1276" w:type="dxa"/>
            <w:tcBorders>
              <w:bottom w:val="single" w:sz="4" w:space="0" w:color="auto"/>
            </w:tcBorders>
            <w:shd w:val="clear" w:color="auto" w:fill="EDEDED" w:themeFill="accent3" w:themeFillTint="33"/>
          </w:tcPr>
          <w:p w:rsidR="003D11BA" w:rsidRPr="006328BC" w:rsidRDefault="003D11BA" w:rsidP="00212E31">
            <w:pPr>
              <w:jc w:val="center"/>
              <w:rPr>
                <w:i/>
                <w:lang w:val="en-US"/>
              </w:rPr>
            </w:pPr>
          </w:p>
        </w:tc>
      </w:tr>
      <w:tr w:rsidR="003D11BA" w:rsidRPr="00EC0609" w:rsidTr="00212E31">
        <w:tc>
          <w:tcPr>
            <w:tcW w:w="704" w:type="dxa"/>
            <w:tcBorders>
              <w:top w:val="single" w:sz="4" w:space="0" w:color="auto"/>
            </w:tcBorders>
          </w:tcPr>
          <w:p w:rsidR="003D11BA" w:rsidRDefault="003D11BA" w:rsidP="00212E31">
            <w:pPr>
              <w:rPr>
                <w:lang w:val="en-US"/>
              </w:rPr>
            </w:pPr>
            <w:r>
              <w:rPr>
                <w:lang w:val="en-US"/>
              </w:rPr>
              <w:t>2</w:t>
            </w:r>
          </w:p>
          <w:p w:rsidR="003D11BA" w:rsidRDefault="003D11BA" w:rsidP="00212E31">
            <w:pPr>
              <w:rPr>
                <w:lang w:val="en-US"/>
              </w:rPr>
            </w:pPr>
          </w:p>
          <w:p w:rsidR="003D11BA" w:rsidRDefault="003D11BA" w:rsidP="00212E31">
            <w:pPr>
              <w:rPr>
                <w:lang w:val="en-US"/>
              </w:rPr>
            </w:pPr>
            <w:r>
              <w:rPr>
                <w:lang w:val="en-US"/>
              </w:rPr>
              <w:t>3</w:t>
            </w:r>
          </w:p>
          <w:p w:rsidR="003D11BA" w:rsidRDefault="003D11BA" w:rsidP="00212E31">
            <w:pPr>
              <w:rPr>
                <w:lang w:val="en-US"/>
              </w:rPr>
            </w:pPr>
          </w:p>
          <w:p w:rsidR="003D11BA" w:rsidRDefault="003D11BA" w:rsidP="00212E31">
            <w:pPr>
              <w:rPr>
                <w:lang w:val="en-US"/>
              </w:rPr>
            </w:pPr>
          </w:p>
          <w:p w:rsidR="003D11BA" w:rsidRDefault="003D11BA" w:rsidP="00212E31">
            <w:pPr>
              <w:ind w:right="17"/>
              <w:rPr>
                <w:lang w:val="en-US"/>
              </w:rPr>
            </w:pPr>
            <w:r>
              <w:rPr>
                <w:lang w:val="en-US"/>
              </w:rPr>
              <w:t>4</w:t>
            </w:r>
          </w:p>
          <w:p w:rsidR="003D11BA" w:rsidRPr="001E0009" w:rsidRDefault="003D11BA" w:rsidP="00212E31">
            <w:pPr>
              <w:rPr>
                <w:lang w:val="en-US"/>
              </w:rPr>
            </w:pPr>
            <w:r>
              <w:rPr>
                <w:lang w:val="en-US"/>
              </w:rPr>
              <w:t>5</w:t>
            </w:r>
          </w:p>
        </w:tc>
        <w:tc>
          <w:tcPr>
            <w:tcW w:w="8930" w:type="dxa"/>
            <w:tcBorders>
              <w:top w:val="single" w:sz="4" w:space="0" w:color="auto"/>
            </w:tcBorders>
          </w:tcPr>
          <w:p w:rsidR="003D11BA" w:rsidRPr="00F029D4" w:rsidRDefault="003D11BA" w:rsidP="00212E31">
            <w:pPr>
              <w:rPr>
                <w:lang w:val="en-US"/>
              </w:rPr>
            </w:pPr>
            <w:r w:rsidRPr="00F029D4">
              <w:rPr>
                <w:lang w:val="en-US"/>
              </w:rPr>
              <w:t>For most patterns, the likelihood for ANA-associated rheumatic disease increases with antibody titer</w:t>
            </w:r>
          </w:p>
          <w:p w:rsidR="003D11BA" w:rsidRPr="00F029D4" w:rsidRDefault="003D11BA" w:rsidP="00212E31">
            <w:pPr>
              <w:rPr>
                <w:lang w:val="en-US"/>
              </w:rPr>
            </w:pPr>
            <w:r w:rsidRPr="00F029D4">
              <w:rPr>
                <w:lang w:val="en-US"/>
              </w:rPr>
              <w:t>There is no single HEp-2 IIF titer that has good sensitivity and good specificity</w:t>
            </w:r>
          </w:p>
          <w:p w:rsidR="003D11BA" w:rsidRPr="00F029D4" w:rsidRDefault="003D11BA" w:rsidP="00212E31">
            <w:pPr>
              <w:rPr>
                <w:lang w:val="en-US"/>
              </w:rPr>
            </w:pPr>
            <w:r w:rsidRPr="00F029D4">
              <w:rPr>
                <w:lang w:val="en-US"/>
              </w:rPr>
              <w:t xml:space="preserve">Taking into account the antibody level helps to interpret ANA test results  </w:t>
            </w:r>
          </w:p>
          <w:p w:rsidR="003D11BA" w:rsidRPr="00F029D4" w:rsidRDefault="003D11BA" w:rsidP="00212E31">
            <w:pPr>
              <w:rPr>
                <w:lang w:val="en-CA"/>
              </w:rPr>
            </w:pPr>
            <w:r w:rsidRPr="00F029D4">
              <w:rPr>
                <w:lang w:val="en-US"/>
              </w:rPr>
              <w:t xml:space="preserve">Reporting titer-specific or test result-specific likelihood ratios for ANA-associated rheumatic disease improves clinical interpretation of HEp-2 IIF test results </w:t>
            </w:r>
          </w:p>
        </w:tc>
        <w:tc>
          <w:tcPr>
            <w:tcW w:w="851" w:type="dxa"/>
            <w:tcBorders>
              <w:top w:val="single" w:sz="4" w:space="0" w:color="auto"/>
            </w:tcBorders>
          </w:tcPr>
          <w:p w:rsidR="003D11BA" w:rsidRDefault="003D11BA" w:rsidP="00212E31">
            <w:pPr>
              <w:ind w:left="35"/>
              <w:rPr>
                <w:lang w:val="en-US"/>
              </w:rPr>
            </w:pPr>
            <w:r>
              <w:rPr>
                <w:lang w:val="en-US"/>
              </w:rPr>
              <w:t xml:space="preserve">    A</w:t>
            </w:r>
          </w:p>
          <w:p w:rsidR="003D11BA" w:rsidRDefault="003D11BA" w:rsidP="00212E31">
            <w:pPr>
              <w:ind w:left="35"/>
              <w:rPr>
                <w:lang w:val="en-US"/>
              </w:rPr>
            </w:pPr>
            <w:r>
              <w:rPr>
                <w:lang w:val="en-US"/>
              </w:rPr>
              <w:t xml:space="preserve">    </w:t>
            </w:r>
          </w:p>
          <w:p w:rsidR="003D11BA" w:rsidRDefault="003D11BA" w:rsidP="00212E31">
            <w:pPr>
              <w:ind w:left="35"/>
              <w:rPr>
                <w:lang w:val="en-US"/>
              </w:rPr>
            </w:pPr>
            <w:r>
              <w:rPr>
                <w:lang w:val="en-US"/>
              </w:rPr>
              <w:t xml:space="preserve">    A</w:t>
            </w:r>
          </w:p>
          <w:p w:rsidR="003D11BA" w:rsidRDefault="003D11BA" w:rsidP="00212E31">
            <w:pPr>
              <w:ind w:left="360"/>
              <w:jc w:val="center"/>
              <w:rPr>
                <w:lang w:val="en-US"/>
              </w:rPr>
            </w:pPr>
          </w:p>
          <w:p w:rsidR="003D11BA" w:rsidRDefault="003D11BA" w:rsidP="00212E31">
            <w:pPr>
              <w:jc w:val="center"/>
              <w:rPr>
                <w:lang w:val="en-US"/>
              </w:rPr>
            </w:pPr>
          </w:p>
          <w:p w:rsidR="003D11BA" w:rsidRDefault="003D11BA" w:rsidP="00212E31">
            <w:pPr>
              <w:jc w:val="center"/>
              <w:rPr>
                <w:lang w:val="en-US"/>
              </w:rPr>
            </w:pPr>
            <w:r>
              <w:rPr>
                <w:lang w:val="en-US"/>
              </w:rPr>
              <w:t>B</w:t>
            </w:r>
          </w:p>
          <w:p w:rsidR="003D11BA" w:rsidRPr="00BC1CDB" w:rsidRDefault="003D11BA" w:rsidP="00212E31">
            <w:pPr>
              <w:jc w:val="center"/>
              <w:rPr>
                <w:lang w:val="en-US"/>
              </w:rPr>
            </w:pPr>
            <w:r>
              <w:rPr>
                <w:lang w:val="en-US"/>
              </w:rPr>
              <w:t>B</w:t>
            </w:r>
          </w:p>
        </w:tc>
        <w:tc>
          <w:tcPr>
            <w:tcW w:w="3402" w:type="dxa"/>
            <w:tcBorders>
              <w:top w:val="single" w:sz="4" w:space="0" w:color="auto"/>
            </w:tcBorders>
          </w:tcPr>
          <w:p w:rsidR="003D11BA" w:rsidRDefault="003D11BA" w:rsidP="00212E31">
            <w:pPr>
              <w:jc w:val="center"/>
              <w:rPr>
                <w:lang w:val="en-US"/>
              </w:rPr>
            </w:pPr>
            <w:r>
              <w:rPr>
                <w:lang w:val="en-US"/>
              </w:rPr>
              <w:t>(13-16), (40), (49-50)</w:t>
            </w:r>
          </w:p>
          <w:p w:rsidR="003D11BA" w:rsidRDefault="003D11BA" w:rsidP="00212E31">
            <w:pPr>
              <w:jc w:val="center"/>
              <w:rPr>
                <w:lang w:val="en-US"/>
              </w:rPr>
            </w:pPr>
          </w:p>
          <w:p w:rsidR="003D11BA" w:rsidRDefault="003D11BA" w:rsidP="00212E31">
            <w:pPr>
              <w:ind w:left="360"/>
              <w:jc w:val="center"/>
              <w:rPr>
                <w:lang w:val="en-US"/>
              </w:rPr>
            </w:pPr>
            <w:r>
              <w:rPr>
                <w:lang w:val="en-US"/>
              </w:rPr>
              <w:t>(10), (12)</w:t>
            </w:r>
          </w:p>
          <w:p w:rsidR="003D11BA" w:rsidRDefault="003D11BA" w:rsidP="00212E31">
            <w:pPr>
              <w:ind w:left="360"/>
              <w:jc w:val="center"/>
              <w:rPr>
                <w:lang w:val="en-US"/>
              </w:rPr>
            </w:pPr>
          </w:p>
          <w:p w:rsidR="003D11BA" w:rsidRPr="00BC1CDB" w:rsidRDefault="003D11BA" w:rsidP="00212E31">
            <w:pPr>
              <w:ind w:left="360"/>
              <w:jc w:val="center"/>
              <w:rPr>
                <w:lang w:val="en-US"/>
              </w:rPr>
            </w:pPr>
          </w:p>
        </w:tc>
        <w:tc>
          <w:tcPr>
            <w:tcW w:w="1276" w:type="dxa"/>
            <w:tcBorders>
              <w:top w:val="single" w:sz="4" w:space="0" w:color="auto"/>
            </w:tcBorders>
          </w:tcPr>
          <w:p w:rsidR="003D11BA" w:rsidRDefault="003D11BA" w:rsidP="00212E31">
            <w:pPr>
              <w:jc w:val="center"/>
              <w:rPr>
                <w:lang w:val="en-US"/>
              </w:rPr>
            </w:pPr>
          </w:p>
        </w:tc>
      </w:tr>
      <w:tr w:rsidR="003D11BA" w:rsidRPr="00B907D3" w:rsidTr="00212E31">
        <w:tc>
          <w:tcPr>
            <w:tcW w:w="704" w:type="dxa"/>
            <w:shd w:val="clear" w:color="auto" w:fill="F2F2F2" w:themeFill="background1" w:themeFillShade="F2"/>
          </w:tcPr>
          <w:p w:rsidR="003D11BA" w:rsidRPr="00F643FC" w:rsidRDefault="003D11BA" w:rsidP="00212E31">
            <w:pPr>
              <w:rPr>
                <w:i/>
                <w:lang w:val="en-US"/>
              </w:rPr>
            </w:pPr>
          </w:p>
        </w:tc>
        <w:tc>
          <w:tcPr>
            <w:tcW w:w="8930" w:type="dxa"/>
            <w:shd w:val="clear" w:color="auto" w:fill="F2F2F2" w:themeFill="background1" w:themeFillShade="F2"/>
          </w:tcPr>
          <w:p w:rsidR="003D11BA" w:rsidRPr="00F029D4" w:rsidRDefault="003D11BA" w:rsidP="00212E31">
            <w:pPr>
              <w:rPr>
                <w:i/>
                <w:lang w:val="en-US"/>
              </w:rPr>
            </w:pPr>
            <w:r w:rsidRPr="00F029D4">
              <w:rPr>
                <w:i/>
                <w:lang w:val="en-US"/>
              </w:rPr>
              <w:t>ANA in healthy individuals</w:t>
            </w:r>
          </w:p>
        </w:tc>
        <w:tc>
          <w:tcPr>
            <w:tcW w:w="851" w:type="dxa"/>
            <w:shd w:val="clear" w:color="auto" w:fill="F2F2F2" w:themeFill="background1" w:themeFillShade="F2"/>
          </w:tcPr>
          <w:p w:rsidR="003D11BA" w:rsidRPr="00835160" w:rsidRDefault="003D11BA" w:rsidP="00212E31">
            <w:pPr>
              <w:jc w:val="center"/>
            </w:pPr>
          </w:p>
        </w:tc>
        <w:tc>
          <w:tcPr>
            <w:tcW w:w="3402" w:type="dxa"/>
            <w:shd w:val="clear" w:color="auto" w:fill="F2F2F2" w:themeFill="background1" w:themeFillShade="F2"/>
          </w:tcPr>
          <w:p w:rsidR="003D11BA" w:rsidRPr="00835160" w:rsidRDefault="003D11BA" w:rsidP="00212E31">
            <w:pPr>
              <w:jc w:val="center"/>
            </w:pPr>
          </w:p>
        </w:tc>
        <w:tc>
          <w:tcPr>
            <w:tcW w:w="1276" w:type="dxa"/>
            <w:shd w:val="clear" w:color="auto" w:fill="F2F2F2" w:themeFill="background1" w:themeFillShade="F2"/>
          </w:tcPr>
          <w:p w:rsidR="003D11BA" w:rsidRPr="00835160" w:rsidRDefault="003D11BA" w:rsidP="00212E31">
            <w:pPr>
              <w:jc w:val="center"/>
            </w:pPr>
          </w:p>
        </w:tc>
      </w:tr>
      <w:tr w:rsidR="003D11BA" w:rsidRPr="00EC0609" w:rsidTr="00212E31">
        <w:tc>
          <w:tcPr>
            <w:tcW w:w="704" w:type="dxa"/>
          </w:tcPr>
          <w:p w:rsidR="003D11BA" w:rsidRPr="001E0009" w:rsidRDefault="003D11BA" w:rsidP="00212E31">
            <w:pPr>
              <w:ind w:right="17"/>
              <w:rPr>
                <w:sz w:val="16"/>
                <w:szCs w:val="16"/>
                <w:lang w:val="en-US"/>
              </w:rPr>
            </w:pPr>
            <w:r>
              <w:rPr>
                <w:lang w:val="en-US"/>
              </w:rPr>
              <w:t>6</w:t>
            </w:r>
          </w:p>
        </w:tc>
        <w:tc>
          <w:tcPr>
            <w:tcW w:w="8930" w:type="dxa"/>
            <w:shd w:val="clear" w:color="auto" w:fill="auto"/>
          </w:tcPr>
          <w:p w:rsidR="003D11BA" w:rsidRPr="00F029D4" w:rsidRDefault="003D11BA" w:rsidP="00212E31">
            <w:pPr>
              <w:rPr>
                <w:lang w:val="en-US"/>
              </w:rPr>
            </w:pPr>
            <w:r w:rsidRPr="00F029D4">
              <w:rPr>
                <w:lang w:val="en-US"/>
              </w:rPr>
              <w:t xml:space="preserve">ANA positivity is found in a substantial part of healthy individuals (adults and children) and this should be taken into account when interpreting test results.  </w:t>
            </w:r>
          </w:p>
        </w:tc>
        <w:tc>
          <w:tcPr>
            <w:tcW w:w="851" w:type="dxa"/>
          </w:tcPr>
          <w:p w:rsidR="003D11BA" w:rsidRPr="00132C03" w:rsidRDefault="003D11BA" w:rsidP="00212E31">
            <w:pPr>
              <w:jc w:val="center"/>
              <w:rPr>
                <w:lang w:val="en-US"/>
              </w:rPr>
            </w:pPr>
            <w:r>
              <w:rPr>
                <w:lang w:val="en-US"/>
              </w:rPr>
              <w:t>A/B</w:t>
            </w:r>
          </w:p>
        </w:tc>
        <w:tc>
          <w:tcPr>
            <w:tcW w:w="3402" w:type="dxa"/>
            <w:shd w:val="clear" w:color="auto" w:fill="auto"/>
          </w:tcPr>
          <w:p w:rsidR="003D11BA" w:rsidRPr="00132C03" w:rsidRDefault="003D11BA" w:rsidP="00212E31">
            <w:pPr>
              <w:jc w:val="center"/>
              <w:rPr>
                <w:lang w:val="en-US"/>
              </w:rPr>
            </w:pPr>
            <w:r>
              <w:rPr>
                <w:lang w:val="en-US"/>
              </w:rPr>
              <w:t>(15), (20-22), (34-38)</w:t>
            </w:r>
          </w:p>
        </w:tc>
        <w:tc>
          <w:tcPr>
            <w:tcW w:w="1276" w:type="dxa"/>
          </w:tcPr>
          <w:p w:rsidR="003D11BA" w:rsidRDefault="003D11BA" w:rsidP="00212E31">
            <w:pPr>
              <w:jc w:val="center"/>
              <w:rPr>
                <w:lang w:val="en-US"/>
              </w:rPr>
            </w:pPr>
          </w:p>
        </w:tc>
      </w:tr>
      <w:tr w:rsidR="003D11BA" w:rsidRPr="00CA415F" w:rsidTr="00212E31">
        <w:tc>
          <w:tcPr>
            <w:tcW w:w="704" w:type="dxa"/>
            <w:shd w:val="clear" w:color="auto" w:fill="F2F2F2" w:themeFill="background1" w:themeFillShade="F2"/>
          </w:tcPr>
          <w:p w:rsidR="003D11BA" w:rsidRPr="00AF21F3" w:rsidRDefault="003D11BA" w:rsidP="00212E31">
            <w:pPr>
              <w:rPr>
                <w:i/>
                <w:lang w:val="en-US"/>
              </w:rPr>
            </w:pPr>
          </w:p>
        </w:tc>
        <w:tc>
          <w:tcPr>
            <w:tcW w:w="8930" w:type="dxa"/>
            <w:shd w:val="clear" w:color="auto" w:fill="F2F2F2" w:themeFill="background1" w:themeFillShade="F2"/>
          </w:tcPr>
          <w:p w:rsidR="003D11BA" w:rsidRPr="00F029D4" w:rsidRDefault="003D11BA" w:rsidP="00212E31">
            <w:pPr>
              <w:rPr>
                <w:i/>
                <w:lang w:val="en-US"/>
              </w:rPr>
            </w:pPr>
            <w:r w:rsidRPr="00F029D4">
              <w:rPr>
                <w:i/>
                <w:lang w:val="en-US"/>
              </w:rPr>
              <w:t>ANA in pediatric systemic rheumatic diseases</w:t>
            </w:r>
          </w:p>
        </w:tc>
        <w:tc>
          <w:tcPr>
            <w:tcW w:w="851" w:type="dxa"/>
            <w:shd w:val="clear" w:color="auto" w:fill="F2F2F2" w:themeFill="background1" w:themeFillShade="F2"/>
          </w:tcPr>
          <w:p w:rsidR="003D11BA" w:rsidRPr="00132C03" w:rsidRDefault="003D11BA" w:rsidP="00212E31">
            <w:pPr>
              <w:jc w:val="center"/>
              <w:rPr>
                <w:lang w:val="en-US"/>
              </w:rPr>
            </w:pPr>
          </w:p>
        </w:tc>
        <w:tc>
          <w:tcPr>
            <w:tcW w:w="3402" w:type="dxa"/>
            <w:shd w:val="clear" w:color="auto" w:fill="F2F2F2" w:themeFill="background1" w:themeFillShade="F2"/>
          </w:tcPr>
          <w:p w:rsidR="003D11BA" w:rsidRPr="00132C03" w:rsidRDefault="003D11BA" w:rsidP="00212E31">
            <w:pPr>
              <w:jc w:val="center"/>
              <w:rPr>
                <w:lang w:val="en-US"/>
              </w:rPr>
            </w:pPr>
          </w:p>
        </w:tc>
        <w:tc>
          <w:tcPr>
            <w:tcW w:w="1276" w:type="dxa"/>
            <w:shd w:val="clear" w:color="auto" w:fill="F2F2F2" w:themeFill="background1" w:themeFillShade="F2"/>
          </w:tcPr>
          <w:p w:rsidR="003D11BA" w:rsidRPr="00132C03" w:rsidRDefault="003D11BA" w:rsidP="00212E31">
            <w:pPr>
              <w:jc w:val="center"/>
              <w:rPr>
                <w:lang w:val="en-US"/>
              </w:rPr>
            </w:pPr>
          </w:p>
        </w:tc>
      </w:tr>
      <w:tr w:rsidR="003D11BA" w:rsidRPr="00EC0609" w:rsidTr="00212E31">
        <w:tc>
          <w:tcPr>
            <w:tcW w:w="704" w:type="dxa"/>
          </w:tcPr>
          <w:p w:rsidR="003D11BA" w:rsidRPr="005D1608" w:rsidRDefault="003D11BA" w:rsidP="00212E31">
            <w:pPr>
              <w:rPr>
                <w:lang w:val="en-US"/>
              </w:rPr>
            </w:pPr>
            <w:r>
              <w:rPr>
                <w:lang w:val="en-US"/>
              </w:rPr>
              <w:t>7</w:t>
            </w:r>
          </w:p>
        </w:tc>
        <w:tc>
          <w:tcPr>
            <w:tcW w:w="8930" w:type="dxa"/>
            <w:shd w:val="clear" w:color="auto" w:fill="auto"/>
          </w:tcPr>
          <w:p w:rsidR="003D11BA" w:rsidRPr="00F029D4" w:rsidRDefault="003D11BA" w:rsidP="00212E31">
            <w:pPr>
              <w:rPr>
                <w:lang w:val="en-US"/>
              </w:rPr>
            </w:pPr>
            <w:r w:rsidRPr="00F029D4">
              <w:rPr>
                <w:lang w:val="en-US"/>
              </w:rPr>
              <w:t xml:space="preserve">There is no evidence that in children with ANA-associated rheumatic disease lower thresholds should be applied.  </w:t>
            </w:r>
            <w:r w:rsidRPr="00F029D4">
              <w:rPr>
                <w:color w:val="A6A6A6" w:themeColor="background1" w:themeShade="A6"/>
                <w:lang w:val="en-US"/>
              </w:rPr>
              <w:t xml:space="preserve">   </w:t>
            </w:r>
          </w:p>
        </w:tc>
        <w:tc>
          <w:tcPr>
            <w:tcW w:w="851" w:type="dxa"/>
          </w:tcPr>
          <w:p w:rsidR="003D11BA" w:rsidRPr="00132C03" w:rsidRDefault="003D11BA" w:rsidP="00212E31">
            <w:pPr>
              <w:jc w:val="center"/>
              <w:rPr>
                <w:lang w:val="en-US"/>
              </w:rPr>
            </w:pPr>
            <w:r>
              <w:rPr>
                <w:lang w:val="en-US"/>
              </w:rPr>
              <w:t>A</w:t>
            </w:r>
          </w:p>
        </w:tc>
        <w:tc>
          <w:tcPr>
            <w:tcW w:w="3402" w:type="dxa"/>
            <w:shd w:val="clear" w:color="auto" w:fill="auto"/>
          </w:tcPr>
          <w:p w:rsidR="003D11BA" w:rsidRPr="00132C03" w:rsidRDefault="003D11BA" w:rsidP="00212E31">
            <w:pPr>
              <w:jc w:val="center"/>
              <w:rPr>
                <w:lang w:val="en-US"/>
              </w:rPr>
            </w:pPr>
            <w:r>
              <w:rPr>
                <w:lang w:val="en-US"/>
              </w:rPr>
              <w:t>(18-22)</w:t>
            </w:r>
          </w:p>
        </w:tc>
        <w:tc>
          <w:tcPr>
            <w:tcW w:w="1276" w:type="dxa"/>
          </w:tcPr>
          <w:p w:rsidR="003D11BA" w:rsidRDefault="003D11BA" w:rsidP="00212E31">
            <w:pPr>
              <w:jc w:val="center"/>
              <w:rPr>
                <w:lang w:val="en-US"/>
              </w:rPr>
            </w:pPr>
          </w:p>
        </w:tc>
      </w:tr>
      <w:tr w:rsidR="003D11BA" w:rsidRPr="00B907D3" w:rsidTr="00212E31">
        <w:tc>
          <w:tcPr>
            <w:tcW w:w="704" w:type="dxa"/>
            <w:shd w:val="clear" w:color="auto" w:fill="E7E6E6" w:themeFill="background2"/>
          </w:tcPr>
          <w:p w:rsidR="003D11BA" w:rsidRPr="00B907D3" w:rsidRDefault="003D11BA" w:rsidP="00212E31">
            <w:pPr>
              <w:rPr>
                <w:i/>
              </w:rPr>
            </w:pPr>
          </w:p>
        </w:tc>
        <w:tc>
          <w:tcPr>
            <w:tcW w:w="8930" w:type="dxa"/>
            <w:shd w:val="clear" w:color="auto" w:fill="E7E6E6" w:themeFill="background2"/>
          </w:tcPr>
          <w:p w:rsidR="003D11BA" w:rsidRPr="00F029D4" w:rsidRDefault="003D11BA" w:rsidP="00212E31">
            <w:pPr>
              <w:rPr>
                <w:i/>
              </w:rPr>
            </w:pPr>
            <w:r w:rsidRPr="00F029D4">
              <w:rPr>
                <w:i/>
              </w:rPr>
              <w:t xml:space="preserve">Patterns </w:t>
            </w:r>
          </w:p>
        </w:tc>
        <w:tc>
          <w:tcPr>
            <w:tcW w:w="851" w:type="dxa"/>
            <w:shd w:val="clear" w:color="auto" w:fill="E7E6E6" w:themeFill="background2"/>
          </w:tcPr>
          <w:p w:rsidR="003D11BA" w:rsidRPr="00B907D3" w:rsidRDefault="003D11BA" w:rsidP="00212E31">
            <w:pPr>
              <w:jc w:val="center"/>
              <w:rPr>
                <w:i/>
              </w:rPr>
            </w:pPr>
          </w:p>
        </w:tc>
        <w:tc>
          <w:tcPr>
            <w:tcW w:w="3402" w:type="dxa"/>
            <w:shd w:val="clear" w:color="auto" w:fill="E7E6E6" w:themeFill="background2"/>
          </w:tcPr>
          <w:p w:rsidR="003D11BA" w:rsidRPr="00B907D3" w:rsidRDefault="003D11BA" w:rsidP="00212E31">
            <w:pPr>
              <w:jc w:val="center"/>
              <w:rPr>
                <w:i/>
              </w:rPr>
            </w:pPr>
          </w:p>
        </w:tc>
        <w:tc>
          <w:tcPr>
            <w:tcW w:w="1276" w:type="dxa"/>
            <w:shd w:val="clear" w:color="auto" w:fill="E7E6E6" w:themeFill="background2"/>
          </w:tcPr>
          <w:p w:rsidR="003D11BA" w:rsidRPr="00B907D3" w:rsidRDefault="003D11BA" w:rsidP="00212E31">
            <w:pPr>
              <w:jc w:val="center"/>
              <w:rPr>
                <w:i/>
              </w:rPr>
            </w:pPr>
          </w:p>
        </w:tc>
      </w:tr>
      <w:tr w:rsidR="003D11BA" w:rsidRPr="00EC0609" w:rsidTr="00212E31">
        <w:tc>
          <w:tcPr>
            <w:tcW w:w="704" w:type="dxa"/>
          </w:tcPr>
          <w:p w:rsidR="003D11BA" w:rsidRDefault="003D11BA" w:rsidP="00212E31">
            <w:pPr>
              <w:rPr>
                <w:lang w:val="en-US"/>
              </w:rPr>
            </w:pPr>
            <w:r>
              <w:rPr>
                <w:lang w:val="en-US"/>
              </w:rPr>
              <w:t>8</w:t>
            </w:r>
          </w:p>
          <w:p w:rsidR="003D11BA" w:rsidRDefault="003D11BA" w:rsidP="00212E31">
            <w:pPr>
              <w:rPr>
                <w:lang w:val="en-US"/>
              </w:rPr>
            </w:pPr>
            <w:r>
              <w:rPr>
                <w:lang w:val="en-US"/>
              </w:rPr>
              <w:t>9</w:t>
            </w:r>
          </w:p>
          <w:p w:rsidR="003D11BA" w:rsidRDefault="003D11BA" w:rsidP="00212E31">
            <w:pPr>
              <w:rPr>
                <w:lang w:val="en-US"/>
              </w:rPr>
            </w:pPr>
            <w:r>
              <w:rPr>
                <w:lang w:val="en-US"/>
              </w:rPr>
              <w:t>10</w:t>
            </w:r>
          </w:p>
          <w:p w:rsidR="003D11BA" w:rsidRDefault="003D11BA" w:rsidP="00212E31">
            <w:pPr>
              <w:rPr>
                <w:lang w:val="en-US"/>
              </w:rPr>
            </w:pPr>
            <w:r>
              <w:rPr>
                <w:lang w:val="en-US"/>
              </w:rPr>
              <w:t>11</w:t>
            </w:r>
          </w:p>
          <w:p w:rsidR="003D11BA" w:rsidRPr="005D1608" w:rsidRDefault="003D11BA" w:rsidP="00212E31">
            <w:pPr>
              <w:rPr>
                <w:lang w:val="en-US"/>
              </w:rPr>
            </w:pPr>
            <w:r>
              <w:rPr>
                <w:lang w:val="en-US"/>
              </w:rPr>
              <w:t>12</w:t>
            </w:r>
          </w:p>
        </w:tc>
        <w:tc>
          <w:tcPr>
            <w:tcW w:w="8930" w:type="dxa"/>
          </w:tcPr>
          <w:p w:rsidR="003D11BA" w:rsidRPr="00F029D4" w:rsidRDefault="003D11BA" w:rsidP="00212E31">
            <w:pPr>
              <w:rPr>
                <w:lang w:val="en-US"/>
              </w:rPr>
            </w:pPr>
            <w:r w:rsidRPr="00F029D4">
              <w:rPr>
                <w:lang w:val="en-US"/>
              </w:rPr>
              <w:t>HEp-2 IIF pattern provides useful information in terms of clinical relevance and guidance for follow-up tests</w:t>
            </w:r>
          </w:p>
          <w:p w:rsidR="003D11BA" w:rsidRPr="00F029D4" w:rsidRDefault="003D11BA" w:rsidP="00212E31">
            <w:pPr>
              <w:rPr>
                <w:lang w:val="en-US"/>
              </w:rPr>
            </w:pPr>
            <w:r w:rsidRPr="00F029D4">
              <w:rPr>
                <w:lang w:val="en-US"/>
              </w:rPr>
              <w:t>The clinical relevance of the HEp-2 IIF pattern is pattern-dependent</w:t>
            </w:r>
          </w:p>
          <w:p w:rsidR="003D11BA" w:rsidRPr="00F029D4" w:rsidRDefault="003D11BA" w:rsidP="00212E31">
            <w:pPr>
              <w:rPr>
                <w:lang w:val="en-US"/>
              </w:rPr>
            </w:pPr>
            <w:r w:rsidRPr="00F029D4">
              <w:rPr>
                <w:lang w:val="en-US"/>
              </w:rPr>
              <w:t>Correlating the HEp-2 IIF pattern with the specific antibodies adds value</w:t>
            </w:r>
          </w:p>
          <w:p w:rsidR="003D11BA" w:rsidRPr="00F029D4" w:rsidRDefault="003D11BA" w:rsidP="00212E31">
            <w:pPr>
              <w:rPr>
                <w:lang w:val="en-US"/>
              </w:rPr>
            </w:pPr>
            <w:r w:rsidRPr="00F029D4">
              <w:rPr>
                <w:lang w:val="en-US"/>
              </w:rPr>
              <w:t xml:space="preserve">The main ANA patterns (with the highest clinical relevance) comprise: </w:t>
            </w:r>
          </w:p>
          <w:p w:rsidR="003D11BA" w:rsidRPr="00F029D4" w:rsidRDefault="003D11BA" w:rsidP="003D11BA">
            <w:pPr>
              <w:pStyle w:val="ListParagraph"/>
              <w:numPr>
                <w:ilvl w:val="0"/>
                <w:numId w:val="5"/>
              </w:numPr>
              <w:ind w:left="1163" w:hanging="142"/>
              <w:rPr>
                <w:lang w:val="en-US"/>
              </w:rPr>
            </w:pPr>
            <w:r w:rsidRPr="00F029D4">
              <w:rPr>
                <w:lang w:val="en-US"/>
              </w:rPr>
              <w:t xml:space="preserve">nuclear centromere, homogeneous, speckled, nucleolar, multiple nuclear dots, nuclear envelope </w:t>
            </w:r>
          </w:p>
          <w:p w:rsidR="003D11BA" w:rsidRPr="00F029D4" w:rsidRDefault="003D11BA" w:rsidP="003D11BA">
            <w:pPr>
              <w:pStyle w:val="ListParagraph"/>
              <w:numPr>
                <w:ilvl w:val="0"/>
                <w:numId w:val="5"/>
              </w:numPr>
              <w:ind w:left="1163" w:hanging="142"/>
              <w:rPr>
                <w:lang w:val="en-US"/>
              </w:rPr>
            </w:pPr>
            <w:r w:rsidRPr="00F029D4">
              <w:rPr>
                <w:lang w:val="en-US"/>
              </w:rPr>
              <w:t>cytoplasmic reticular, (dense) fine speckled, fibrillary</w:t>
            </w:r>
          </w:p>
        </w:tc>
        <w:tc>
          <w:tcPr>
            <w:tcW w:w="851" w:type="dxa"/>
          </w:tcPr>
          <w:p w:rsidR="003D11BA" w:rsidRDefault="003D11BA" w:rsidP="00212E31">
            <w:pPr>
              <w:jc w:val="center"/>
              <w:rPr>
                <w:lang w:val="en-US"/>
              </w:rPr>
            </w:pPr>
            <w:r>
              <w:rPr>
                <w:lang w:val="en-US"/>
              </w:rPr>
              <w:t>A</w:t>
            </w:r>
          </w:p>
          <w:p w:rsidR="003D11BA" w:rsidRDefault="003D11BA" w:rsidP="00212E31">
            <w:pPr>
              <w:jc w:val="center"/>
              <w:rPr>
                <w:lang w:val="en-US"/>
              </w:rPr>
            </w:pPr>
          </w:p>
          <w:p w:rsidR="003D11BA" w:rsidRDefault="003D11BA" w:rsidP="00212E31">
            <w:pPr>
              <w:jc w:val="center"/>
              <w:rPr>
                <w:lang w:val="en-US"/>
              </w:rPr>
            </w:pPr>
            <w:r>
              <w:rPr>
                <w:lang w:val="en-US"/>
              </w:rPr>
              <w:t>A</w:t>
            </w:r>
          </w:p>
          <w:p w:rsidR="003D11BA" w:rsidRDefault="003D11BA" w:rsidP="00212E31">
            <w:pPr>
              <w:jc w:val="center"/>
              <w:rPr>
                <w:lang w:val="en-US"/>
              </w:rPr>
            </w:pPr>
            <w:r>
              <w:rPr>
                <w:lang w:val="en-US"/>
              </w:rPr>
              <w:t>A</w:t>
            </w:r>
          </w:p>
          <w:p w:rsidR="003D11BA" w:rsidRPr="00BC1CDB" w:rsidRDefault="003D11BA" w:rsidP="00212E31">
            <w:pPr>
              <w:jc w:val="center"/>
              <w:rPr>
                <w:lang w:val="en-US"/>
              </w:rPr>
            </w:pPr>
            <w:r>
              <w:rPr>
                <w:lang w:val="en-US"/>
              </w:rPr>
              <w:t>A/B</w:t>
            </w:r>
          </w:p>
        </w:tc>
        <w:tc>
          <w:tcPr>
            <w:tcW w:w="3402" w:type="dxa"/>
          </w:tcPr>
          <w:p w:rsidR="003D11BA" w:rsidRDefault="003D11BA" w:rsidP="00212E31">
            <w:pPr>
              <w:ind w:left="360"/>
              <w:jc w:val="center"/>
              <w:rPr>
                <w:lang w:val="en-US"/>
              </w:rPr>
            </w:pPr>
            <w:r>
              <w:rPr>
                <w:lang w:val="en-US"/>
              </w:rPr>
              <w:t>(1), (56-57), (69)</w:t>
            </w:r>
          </w:p>
          <w:p w:rsidR="003D11BA" w:rsidRDefault="003D11BA" w:rsidP="00212E31">
            <w:pPr>
              <w:ind w:left="360"/>
              <w:jc w:val="center"/>
              <w:rPr>
                <w:lang w:val="en-US"/>
              </w:rPr>
            </w:pPr>
          </w:p>
          <w:p w:rsidR="003D11BA" w:rsidRDefault="003D11BA" w:rsidP="00212E31">
            <w:pPr>
              <w:jc w:val="center"/>
              <w:rPr>
                <w:lang w:val="en-US"/>
              </w:rPr>
            </w:pPr>
            <w:r>
              <w:rPr>
                <w:lang w:val="en-US"/>
              </w:rPr>
              <w:t>(53), (56-57), (59-64), (78)</w:t>
            </w:r>
          </w:p>
          <w:p w:rsidR="003D11BA" w:rsidRDefault="003D11BA" w:rsidP="00212E31">
            <w:pPr>
              <w:jc w:val="center"/>
              <w:rPr>
                <w:lang w:val="en-US"/>
              </w:rPr>
            </w:pPr>
            <w:r>
              <w:rPr>
                <w:lang w:val="en-US"/>
              </w:rPr>
              <w:t>(1), (53), (56-57), (73), (75-77)</w:t>
            </w:r>
          </w:p>
          <w:p w:rsidR="003D11BA" w:rsidRDefault="003D11BA" w:rsidP="00212E31">
            <w:pPr>
              <w:ind w:left="360"/>
              <w:jc w:val="center"/>
              <w:rPr>
                <w:lang w:val="en-US"/>
              </w:rPr>
            </w:pPr>
            <w:r>
              <w:rPr>
                <w:lang w:val="en-US"/>
              </w:rPr>
              <w:t>(56-57), (59), (61)</w:t>
            </w:r>
          </w:p>
          <w:p w:rsidR="003D11BA" w:rsidRPr="00BC1CDB" w:rsidRDefault="003D11BA" w:rsidP="00212E31">
            <w:pPr>
              <w:ind w:left="360"/>
              <w:jc w:val="center"/>
              <w:rPr>
                <w:lang w:val="en-US"/>
              </w:rPr>
            </w:pPr>
          </w:p>
        </w:tc>
        <w:tc>
          <w:tcPr>
            <w:tcW w:w="1276" w:type="dxa"/>
          </w:tcPr>
          <w:p w:rsidR="003D11BA" w:rsidRDefault="003D11BA" w:rsidP="00212E31">
            <w:pPr>
              <w:ind w:left="360"/>
              <w:jc w:val="center"/>
              <w:rPr>
                <w:lang w:val="en-US"/>
              </w:rPr>
            </w:pPr>
          </w:p>
        </w:tc>
      </w:tr>
      <w:tr w:rsidR="003D11BA" w:rsidRPr="00E40C0F" w:rsidTr="00212E31">
        <w:tc>
          <w:tcPr>
            <w:tcW w:w="704" w:type="dxa"/>
            <w:shd w:val="clear" w:color="auto" w:fill="E7E6E6" w:themeFill="background2"/>
          </w:tcPr>
          <w:p w:rsidR="003D11BA" w:rsidRPr="00E40C0F" w:rsidRDefault="003D11BA" w:rsidP="00212E31">
            <w:pPr>
              <w:rPr>
                <w:i/>
                <w:lang w:val="en-CA"/>
              </w:rPr>
            </w:pPr>
          </w:p>
        </w:tc>
        <w:tc>
          <w:tcPr>
            <w:tcW w:w="8930" w:type="dxa"/>
            <w:shd w:val="clear" w:color="auto" w:fill="E7E6E6" w:themeFill="background2"/>
          </w:tcPr>
          <w:p w:rsidR="003D11BA" w:rsidRPr="00E40C0F" w:rsidRDefault="003D11BA" w:rsidP="00212E31">
            <w:pPr>
              <w:rPr>
                <w:i/>
                <w:lang w:val="en-CA"/>
              </w:rPr>
            </w:pPr>
            <w:r w:rsidRPr="00E40C0F">
              <w:rPr>
                <w:i/>
                <w:lang w:val="en-CA"/>
              </w:rPr>
              <w:t>Substrate</w:t>
            </w:r>
            <w:r>
              <w:rPr>
                <w:i/>
                <w:lang w:val="en-CA"/>
              </w:rPr>
              <w:t xml:space="preserve"> </w:t>
            </w:r>
          </w:p>
        </w:tc>
        <w:tc>
          <w:tcPr>
            <w:tcW w:w="851" w:type="dxa"/>
            <w:shd w:val="clear" w:color="auto" w:fill="E7E6E6" w:themeFill="background2"/>
          </w:tcPr>
          <w:p w:rsidR="003D11BA" w:rsidRPr="00E40C0F" w:rsidRDefault="003D11BA" w:rsidP="00212E31">
            <w:pPr>
              <w:jc w:val="center"/>
              <w:rPr>
                <w:i/>
                <w:lang w:val="en-CA"/>
              </w:rPr>
            </w:pPr>
          </w:p>
        </w:tc>
        <w:tc>
          <w:tcPr>
            <w:tcW w:w="3402" w:type="dxa"/>
            <w:shd w:val="clear" w:color="auto" w:fill="E7E6E6" w:themeFill="background2"/>
          </w:tcPr>
          <w:p w:rsidR="003D11BA" w:rsidRPr="00E40C0F" w:rsidRDefault="003D11BA" w:rsidP="00212E31">
            <w:pPr>
              <w:jc w:val="center"/>
              <w:rPr>
                <w:i/>
                <w:lang w:val="en-CA"/>
              </w:rPr>
            </w:pPr>
          </w:p>
        </w:tc>
        <w:tc>
          <w:tcPr>
            <w:tcW w:w="1276" w:type="dxa"/>
            <w:shd w:val="clear" w:color="auto" w:fill="E7E6E6" w:themeFill="background2"/>
          </w:tcPr>
          <w:p w:rsidR="003D11BA" w:rsidRPr="00E40C0F" w:rsidRDefault="003D11BA" w:rsidP="00212E31">
            <w:pPr>
              <w:jc w:val="center"/>
              <w:rPr>
                <w:i/>
                <w:lang w:val="en-CA"/>
              </w:rPr>
            </w:pPr>
          </w:p>
        </w:tc>
      </w:tr>
      <w:tr w:rsidR="003D11BA" w:rsidRPr="00EC0609" w:rsidTr="00212E31">
        <w:tc>
          <w:tcPr>
            <w:tcW w:w="704" w:type="dxa"/>
          </w:tcPr>
          <w:p w:rsidR="003D11BA" w:rsidRPr="005D1608" w:rsidRDefault="003D11BA" w:rsidP="00212E31">
            <w:pPr>
              <w:rPr>
                <w:lang w:val="en-CA"/>
              </w:rPr>
            </w:pPr>
            <w:r>
              <w:rPr>
                <w:lang w:val="en-CA"/>
              </w:rPr>
              <w:t>13</w:t>
            </w:r>
          </w:p>
        </w:tc>
        <w:tc>
          <w:tcPr>
            <w:tcW w:w="8930" w:type="dxa"/>
          </w:tcPr>
          <w:p w:rsidR="003D11BA" w:rsidRDefault="003D11BA" w:rsidP="00212E31">
            <w:pPr>
              <w:rPr>
                <w:lang w:val="en-CA"/>
              </w:rPr>
            </w:pPr>
            <w:r w:rsidRPr="006F219D">
              <w:rPr>
                <w:lang w:val="en-CA"/>
              </w:rPr>
              <w:t>Both HEp-2 and Hep-2000 cells can be used as substrate for ANA IFA screening.</w:t>
            </w:r>
          </w:p>
          <w:p w:rsidR="003D11BA" w:rsidRPr="006F219D" w:rsidRDefault="003D11BA" w:rsidP="00212E31">
            <w:pPr>
              <w:rPr>
                <w:lang w:val="en-CA"/>
              </w:rPr>
            </w:pPr>
          </w:p>
        </w:tc>
        <w:tc>
          <w:tcPr>
            <w:tcW w:w="851" w:type="dxa"/>
          </w:tcPr>
          <w:p w:rsidR="003D11BA" w:rsidRPr="00BC1CDB" w:rsidRDefault="003D11BA" w:rsidP="00212E31">
            <w:pPr>
              <w:jc w:val="center"/>
              <w:rPr>
                <w:lang w:val="en-CA"/>
              </w:rPr>
            </w:pPr>
            <w:r>
              <w:rPr>
                <w:lang w:val="en-CA"/>
              </w:rPr>
              <w:t>A</w:t>
            </w:r>
          </w:p>
        </w:tc>
        <w:tc>
          <w:tcPr>
            <w:tcW w:w="3402" w:type="dxa"/>
          </w:tcPr>
          <w:p w:rsidR="003D11BA" w:rsidRPr="00BC1CDB" w:rsidRDefault="003D11BA" w:rsidP="00212E31">
            <w:pPr>
              <w:ind w:left="36"/>
              <w:jc w:val="center"/>
              <w:rPr>
                <w:lang w:val="en-CA"/>
              </w:rPr>
            </w:pPr>
            <w:r>
              <w:rPr>
                <w:lang w:val="en-CA"/>
              </w:rPr>
              <w:t>(39), (72), (75-82), (72)</w:t>
            </w:r>
          </w:p>
        </w:tc>
        <w:tc>
          <w:tcPr>
            <w:tcW w:w="1276" w:type="dxa"/>
          </w:tcPr>
          <w:p w:rsidR="003D11BA" w:rsidRDefault="003D11BA" w:rsidP="00212E31">
            <w:pPr>
              <w:ind w:left="36"/>
              <w:jc w:val="center"/>
              <w:rPr>
                <w:lang w:val="en-CA"/>
              </w:rPr>
            </w:pPr>
          </w:p>
        </w:tc>
      </w:tr>
      <w:tr w:rsidR="003D11BA" w:rsidRPr="00E40C0F" w:rsidTr="00212E31">
        <w:tc>
          <w:tcPr>
            <w:tcW w:w="704" w:type="dxa"/>
            <w:shd w:val="clear" w:color="auto" w:fill="E7E6E6" w:themeFill="background2"/>
          </w:tcPr>
          <w:p w:rsidR="003D11BA" w:rsidRPr="00E40C0F" w:rsidRDefault="003D11BA" w:rsidP="00212E31">
            <w:pPr>
              <w:rPr>
                <w:i/>
                <w:lang w:val="en-CA"/>
              </w:rPr>
            </w:pPr>
          </w:p>
        </w:tc>
        <w:tc>
          <w:tcPr>
            <w:tcW w:w="8930" w:type="dxa"/>
            <w:shd w:val="clear" w:color="auto" w:fill="E7E6E6" w:themeFill="background2"/>
          </w:tcPr>
          <w:p w:rsidR="003D11BA" w:rsidRPr="00E40C0F" w:rsidRDefault="003D11BA" w:rsidP="00212E31">
            <w:pPr>
              <w:rPr>
                <w:i/>
                <w:lang w:val="en-CA"/>
              </w:rPr>
            </w:pPr>
            <w:r w:rsidRPr="00E40C0F">
              <w:rPr>
                <w:i/>
                <w:lang w:val="en-CA"/>
              </w:rPr>
              <w:t>Conjugate</w:t>
            </w:r>
            <w:r w:rsidRPr="00D90986">
              <w:rPr>
                <w:i/>
                <w:color w:val="FF0000"/>
              </w:rPr>
              <w:t xml:space="preserve"> </w:t>
            </w:r>
          </w:p>
        </w:tc>
        <w:tc>
          <w:tcPr>
            <w:tcW w:w="851" w:type="dxa"/>
            <w:shd w:val="clear" w:color="auto" w:fill="E7E6E6" w:themeFill="background2"/>
          </w:tcPr>
          <w:p w:rsidR="003D11BA" w:rsidRPr="00E40C0F" w:rsidRDefault="003D11BA" w:rsidP="00212E31">
            <w:pPr>
              <w:jc w:val="center"/>
              <w:rPr>
                <w:i/>
                <w:lang w:val="en-CA"/>
              </w:rPr>
            </w:pPr>
          </w:p>
        </w:tc>
        <w:tc>
          <w:tcPr>
            <w:tcW w:w="3402" w:type="dxa"/>
            <w:shd w:val="clear" w:color="auto" w:fill="E7E6E6" w:themeFill="background2"/>
          </w:tcPr>
          <w:p w:rsidR="003D11BA" w:rsidRPr="00E40C0F" w:rsidRDefault="003D11BA" w:rsidP="00212E31">
            <w:pPr>
              <w:jc w:val="center"/>
              <w:rPr>
                <w:i/>
                <w:lang w:val="en-CA"/>
              </w:rPr>
            </w:pPr>
          </w:p>
        </w:tc>
        <w:tc>
          <w:tcPr>
            <w:tcW w:w="1276" w:type="dxa"/>
            <w:shd w:val="clear" w:color="auto" w:fill="E7E6E6" w:themeFill="background2"/>
          </w:tcPr>
          <w:p w:rsidR="003D11BA" w:rsidRPr="00E40C0F" w:rsidRDefault="003D11BA" w:rsidP="00212E31">
            <w:pPr>
              <w:jc w:val="center"/>
              <w:rPr>
                <w:i/>
                <w:lang w:val="en-CA"/>
              </w:rPr>
            </w:pPr>
          </w:p>
        </w:tc>
      </w:tr>
      <w:tr w:rsidR="003D11BA" w:rsidRPr="00EC0609" w:rsidTr="00212E31">
        <w:tc>
          <w:tcPr>
            <w:tcW w:w="704" w:type="dxa"/>
            <w:shd w:val="clear" w:color="auto" w:fill="FFFFFF" w:themeFill="background1"/>
          </w:tcPr>
          <w:p w:rsidR="003D11BA" w:rsidRDefault="003D11BA" w:rsidP="00212E31">
            <w:pPr>
              <w:pStyle w:val="ListParagraph"/>
              <w:tabs>
                <w:tab w:val="left" w:pos="309"/>
              </w:tabs>
              <w:ind w:left="25" w:right="29"/>
              <w:rPr>
                <w:lang w:val="en-CA"/>
              </w:rPr>
            </w:pPr>
            <w:r>
              <w:rPr>
                <w:lang w:val="en-CA"/>
              </w:rPr>
              <w:t>14</w:t>
            </w:r>
          </w:p>
          <w:p w:rsidR="003D11BA" w:rsidRDefault="003D11BA" w:rsidP="00212E31">
            <w:pPr>
              <w:pStyle w:val="ListParagraph"/>
              <w:tabs>
                <w:tab w:val="left" w:pos="309"/>
              </w:tabs>
              <w:ind w:left="25" w:right="29"/>
              <w:rPr>
                <w:lang w:val="en-CA"/>
              </w:rPr>
            </w:pPr>
            <w:r>
              <w:rPr>
                <w:lang w:val="en-CA"/>
              </w:rPr>
              <w:t>15</w:t>
            </w:r>
          </w:p>
        </w:tc>
        <w:tc>
          <w:tcPr>
            <w:tcW w:w="8930" w:type="dxa"/>
            <w:shd w:val="clear" w:color="auto" w:fill="FFFFFF" w:themeFill="background1"/>
          </w:tcPr>
          <w:p w:rsidR="003D11BA" w:rsidRPr="006F219D" w:rsidRDefault="003D11BA" w:rsidP="00212E31">
            <w:pPr>
              <w:rPr>
                <w:i/>
                <w:lang w:val="en-CA"/>
              </w:rPr>
            </w:pPr>
            <w:r w:rsidRPr="006F219D">
              <w:rPr>
                <w:lang w:val="en-CA"/>
              </w:rPr>
              <w:t>The use of IgG specific conjugate is sufficient to detect most clinically relevant ANA</w:t>
            </w:r>
          </w:p>
          <w:p w:rsidR="003D11BA" w:rsidRPr="006F219D" w:rsidRDefault="003D11BA" w:rsidP="00212E31">
            <w:pPr>
              <w:rPr>
                <w:i/>
                <w:lang w:val="en-CA"/>
              </w:rPr>
            </w:pPr>
            <w:r w:rsidRPr="006F219D">
              <w:rPr>
                <w:lang w:val="en-CA"/>
              </w:rPr>
              <w:t xml:space="preserve">The </w:t>
            </w:r>
            <w:r>
              <w:rPr>
                <w:lang w:val="en-CA"/>
              </w:rPr>
              <w:t xml:space="preserve">isotype specificity </w:t>
            </w:r>
            <w:r w:rsidRPr="006F219D">
              <w:rPr>
                <w:lang w:val="en-CA"/>
              </w:rPr>
              <w:t>of the used substrate (polyspecific/IgG specific) contributes to assay variability</w:t>
            </w:r>
          </w:p>
        </w:tc>
        <w:tc>
          <w:tcPr>
            <w:tcW w:w="851" w:type="dxa"/>
            <w:shd w:val="clear" w:color="auto" w:fill="FFFFFF" w:themeFill="background1"/>
          </w:tcPr>
          <w:p w:rsidR="003D11BA" w:rsidRDefault="003D11BA" w:rsidP="00212E31">
            <w:pPr>
              <w:jc w:val="center"/>
              <w:rPr>
                <w:lang w:val="en-CA"/>
              </w:rPr>
            </w:pPr>
            <w:r>
              <w:rPr>
                <w:lang w:val="en-CA"/>
              </w:rPr>
              <w:t>A/B</w:t>
            </w:r>
          </w:p>
          <w:p w:rsidR="003D11BA" w:rsidRPr="00BC1CDB" w:rsidRDefault="003D11BA" w:rsidP="00212E31">
            <w:pPr>
              <w:jc w:val="center"/>
              <w:rPr>
                <w:lang w:val="en-CA"/>
              </w:rPr>
            </w:pPr>
            <w:r>
              <w:rPr>
                <w:lang w:val="en-CA"/>
              </w:rPr>
              <w:t>A/B</w:t>
            </w:r>
          </w:p>
        </w:tc>
        <w:tc>
          <w:tcPr>
            <w:tcW w:w="3402" w:type="dxa"/>
            <w:shd w:val="clear" w:color="auto" w:fill="FFFFFF" w:themeFill="background1"/>
          </w:tcPr>
          <w:p w:rsidR="003D11BA" w:rsidRDefault="003D11BA" w:rsidP="00212E31">
            <w:pPr>
              <w:ind w:left="36"/>
              <w:jc w:val="center"/>
              <w:rPr>
                <w:lang w:val="en-CA"/>
              </w:rPr>
            </w:pPr>
            <w:r>
              <w:rPr>
                <w:lang w:val="en-CA"/>
              </w:rPr>
              <w:t>(43), (85-90)</w:t>
            </w:r>
          </w:p>
          <w:p w:rsidR="003D11BA" w:rsidRPr="00BC1CDB" w:rsidRDefault="003D11BA" w:rsidP="00212E31">
            <w:pPr>
              <w:ind w:left="36"/>
              <w:jc w:val="center"/>
              <w:rPr>
                <w:lang w:val="en-CA"/>
              </w:rPr>
            </w:pPr>
            <w:r>
              <w:rPr>
                <w:lang w:val="en-CA"/>
              </w:rPr>
              <w:t>(43), (83-90)</w:t>
            </w:r>
          </w:p>
        </w:tc>
        <w:tc>
          <w:tcPr>
            <w:tcW w:w="1276" w:type="dxa"/>
            <w:shd w:val="clear" w:color="auto" w:fill="FFFFFF" w:themeFill="background1"/>
          </w:tcPr>
          <w:p w:rsidR="003D11BA" w:rsidRDefault="003D11BA" w:rsidP="00212E31">
            <w:pPr>
              <w:ind w:left="36"/>
              <w:jc w:val="center"/>
              <w:rPr>
                <w:lang w:val="en-CA"/>
              </w:rPr>
            </w:pPr>
          </w:p>
        </w:tc>
      </w:tr>
      <w:tr w:rsidR="003D11BA" w:rsidRPr="006E4720" w:rsidTr="00212E31">
        <w:tc>
          <w:tcPr>
            <w:tcW w:w="704" w:type="dxa"/>
            <w:shd w:val="clear" w:color="auto" w:fill="E7E6E6" w:themeFill="background2"/>
          </w:tcPr>
          <w:p w:rsidR="003D11BA" w:rsidRDefault="003D11BA" w:rsidP="00212E31">
            <w:pPr>
              <w:rPr>
                <w:i/>
                <w:lang w:val="en-CA"/>
              </w:rPr>
            </w:pPr>
          </w:p>
        </w:tc>
        <w:tc>
          <w:tcPr>
            <w:tcW w:w="8930" w:type="dxa"/>
            <w:shd w:val="clear" w:color="auto" w:fill="E7E6E6" w:themeFill="background2"/>
          </w:tcPr>
          <w:p w:rsidR="003D11BA" w:rsidRPr="00E40C0F" w:rsidRDefault="003D11BA" w:rsidP="00212E31">
            <w:pPr>
              <w:rPr>
                <w:i/>
                <w:lang w:val="en-CA"/>
              </w:rPr>
            </w:pPr>
            <w:r>
              <w:rPr>
                <w:i/>
                <w:lang w:val="en-CA"/>
              </w:rPr>
              <w:t xml:space="preserve">Automated microscopy </w:t>
            </w:r>
          </w:p>
        </w:tc>
        <w:tc>
          <w:tcPr>
            <w:tcW w:w="851" w:type="dxa"/>
            <w:shd w:val="clear" w:color="auto" w:fill="E7E6E6" w:themeFill="background2"/>
          </w:tcPr>
          <w:p w:rsidR="003D11BA" w:rsidRDefault="003D11BA" w:rsidP="00212E31">
            <w:pPr>
              <w:jc w:val="center"/>
              <w:rPr>
                <w:i/>
                <w:lang w:val="en-CA"/>
              </w:rPr>
            </w:pPr>
          </w:p>
        </w:tc>
        <w:tc>
          <w:tcPr>
            <w:tcW w:w="3402" w:type="dxa"/>
            <w:shd w:val="clear" w:color="auto" w:fill="E7E6E6" w:themeFill="background2"/>
          </w:tcPr>
          <w:p w:rsidR="003D11BA" w:rsidRDefault="003D11BA" w:rsidP="00212E31">
            <w:pPr>
              <w:jc w:val="center"/>
              <w:rPr>
                <w:i/>
                <w:lang w:val="en-CA"/>
              </w:rPr>
            </w:pPr>
          </w:p>
        </w:tc>
        <w:tc>
          <w:tcPr>
            <w:tcW w:w="1276" w:type="dxa"/>
            <w:shd w:val="clear" w:color="auto" w:fill="E7E6E6" w:themeFill="background2"/>
          </w:tcPr>
          <w:p w:rsidR="003D11BA" w:rsidRDefault="003D11BA" w:rsidP="00212E31">
            <w:pPr>
              <w:jc w:val="center"/>
              <w:rPr>
                <w:i/>
                <w:lang w:val="en-CA"/>
              </w:rPr>
            </w:pPr>
          </w:p>
        </w:tc>
      </w:tr>
      <w:tr w:rsidR="003D11BA" w:rsidRPr="00EC0609" w:rsidTr="00212E31">
        <w:tc>
          <w:tcPr>
            <w:tcW w:w="704" w:type="dxa"/>
            <w:shd w:val="clear" w:color="auto" w:fill="FFFFFF" w:themeFill="background1"/>
          </w:tcPr>
          <w:p w:rsidR="003D11BA" w:rsidRDefault="003D11BA" w:rsidP="00212E31">
            <w:pPr>
              <w:pStyle w:val="ListParagraph"/>
              <w:tabs>
                <w:tab w:val="left" w:pos="167"/>
                <w:tab w:val="left" w:pos="309"/>
              </w:tabs>
              <w:ind w:left="25"/>
              <w:rPr>
                <w:color w:val="000000" w:themeColor="text1"/>
                <w:lang w:val="en-CA"/>
              </w:rPr>
            </w:pPr>
            <w:r>
              <w:rPr>
                <w:color w:val="000000" w:themeColor="text1"/>
                <w:lang w:val="en-CA"/>
              </w:rPr>
              <w:t>16</w:t>
            </w:r>
          </w:p>
          <w:p w:rsidR="003D11BA" w:rsidRDefault="003D11BA" w:rsidP="00212E31">
            <w:pPr>
              <w:pStyle w:val="ListParagraph"/>
              <w:tabs>
                <w:tab w:val="left" w:pos="167"/>
                <w:tab w:val="left" w:pos="309"/>
              </w:tabs>
              <w:ind w:left="25"/>
              <w:rPr>
                <w:color w:val="000000" w:themeColor="text1"/>
                <w:lang w:val="en-CA"/>
              </w:rPr>
            </w:pPr>
          </w:p>
          <w:p w:rsidR="003D11BA" w:rsidRDefault="003D11BA" w:rsidP="00212E31">
            <w:pPr>
              <w:pStyle w:val="ListParagraph"/>
              <w:tabs>
                <w:tab w:val="left" w:pos="167"/>
                <w:tab w:val="left" w:pos="309"/>
              </w:tabs>
              <w:ind w:left="25"/>
              <w:rPr>
                <w:color w:val="000000" w:themeColor="text1"/>
                <w:lang w:val="en-CA"/>
              </w:rPr>
            </w:pPr>
            <w:r>
              <w:rPr>
                <w:color w:val="000000" w:themeColor="text1"/>
                <w:lang w:val="en-CA"/>
              </w:rPr>
              <w:t>17</w:t>
            </w:r>
          </w:p>
          <w:p w:rsidR="003D11BA" w:rsidRDefault="003D11BA" w:rsidP="00212E31">
            <w:pPr>
              <w:pStyle w:val="ListParagraph"/>
              <w:tabs>
                <w:tab w:val="left" w:pos="167"/>
                <w:tab w:val="left" w:pos="309"/>
              </w:tabs>
              <w:ind w:left="25"/>
              <w:rPr>
                <w:color w:val="000000" w:themeColor="text1"/>
                <w:lang w:val="en-CA"/>
              </w:rPr>
            </w:pPr>
            <w:r>
              <w:rPr>
                <w:color w:val="000000" w:themeColor="text1"/>
                <w:lang w:val="en-CA"/>
              </w:rPr>
              <w:t>18</w:t>
            </w:r>
          </w:p>
          <w:p w:rsidR="003D11BA" w:rsidRDefault="003D11BA" w:rsidP="00212E31">
            <w:pPr>
              <w:pStyle w:val="ListParagraph"/>
              <w:tabs>
                <w:tab w:val="left" w:pos="167"/>
                <w:tab w:val="left" w:pos="309"/>
              </w:tabs>
              <w:ind w:left="25"/>
              <w:rPr>
                <w:color w:val="000000" w:themeColor="text1"/>
                <w:lang w:val="en-CA"/>
              </w:rPr>
            </w:pPr>
          </w:p>
          <w:p w:rsidR="003D11BA" w:rsidRDefault="003D11BA" w:rsidP="00212E31">
            <w:pPr>
              <w:pStyle w:val="ListParagraph"/>
              <w:tabs>
                <w:tab w:val="left" w:pos="167"/>
                <w:tab w:val="left" w:pos="309"/>
              </w:tabs>
              <w:ind w:left="25"/>
              <w:rPr>
                <w:color w:val="000000" w:themeColor="text1"/>
                <w:lang w:val="en-CA"/>
              </w:rPr>
            </w:pPr>
          </w:p>
          <w:p w:rsidR="003D11BA" w:rsidRDefault="003D11BA" w:rsidP="00212E31">
            <w:pPr>
              <w:pStyle w:val="ListParagraph"/>
              <w:tabs>
                <w:tab w:val="left" w:pos="167"/>
                <w:tab w:val="left" w:pos="309"/>
              </w:tabs>
              <w:ind w:left="25"/>
              <w:rPr>
                <w:color w:val="000000" w:themeColor="text1"/>
                <w:lang w:val="en-CA"/>
              </w:rPr>
            </w:pPr>
          </w:p>
          <w:p w:rsidR="003D11BA" w:rsidRDefault="003D11BA" w:rsidP="00212E31">
            <w:pPr>
              <w:pStyle w:val="ListParagraph"/>
              <w:tabs>
                <w:tab w:val="left" w:pos="167"/>
                <w:tab w:val="left" w:pos="309"/>
              </w:tabs>
              <w:ind w:left="25"/>
              <w:rPr>
                <w:color w:val="000000" w:themeColor="text1"/>
                <w:lang w:val="en-CA"/>
              </w:rPr>
            </w:pPr>
          </w:p>
          <w:p w:rsidR="003D11BA" w:rsidRPr="006E4720" w:rsidRDefault="003D11BA" w:rsidP="00212E31">
            <w:pPr>
              <w:pStyle w:val="ListParagraph"/>
              <w:tabs>
                <w:tab w:val="left" w:pos="167"/>
                <w:tab w:val="left" w:pos="309"/>
              </w:tabs>
              <w:ind w:left="25"/>
              <w:rPr>
                <w:color w:val="000000" w:themeColor="text1"/>
                <w:lang w:val="en-CA"/>
              </w:rPr>
            </w:pPr>
            <w:r>
              <w:rPr>
                <w:color w:val="000000" w:themeColor="text1"/>
                <w:lang w:val="en-CA"/>
              </w:rPr>
              <w:t>19</w:t>
            </w:r>
          </w:p>
        </w:tc>
        <w:tc>
          <w:tcPr>
            <w:tcW w:w="8930" w:type="dxa"/>
            <w:shd w:val="clear" w:color="auto" w:fill="FFFFFF" w:themeFill="background1"/>
          </w:tcPr>
          <w:p w:rsidR="003D11BA" w:rsidRPr="00F029D4" w:rsidRDefault="003D11BA" w:rsidP="00212E31">
            <w:pPr>
              <w:rPr>
                <w:color w:val="000000" w:themeColor="text1"/>
                <w:lang w:val="en-CA"/>
              </w:rPr>
            </w:pPr>
            <w:r w:rsidRPr="006F219D">
              <w:rPr>
                <w:color w:val="000000" w:themeColor="text1"/>
                <w:lang w:val="en-CA"/>
              </w:rPr>
              <w:t xml:space="preserve">An computer-aided diagnosis </w:t>
            </w:r>
            <w:r w:rsidRPr="00F029D4">
              <w:rPr>
                <w:color w:val="000000" w:themeColor="text1"/>
                <w:lang w:val="en-CA"/>
              </w:rPr>
              <w:t>system (CAD) for HEp2 IIF can support,</w:t>
            </w:r>
            <w:r w:rsidRPr="00F029D4">
              <w:rPr>
                <w:lang w:val="en-CA"/>
              </w:rPr>
              <w:t xml:space="preserve"> but not replace visual HEp-2 IIF for positive/negative interpretation</w:t>
            </w:r>
            <w:r w:rsidRPr="00F029D4">
              <w:rPr>
                <w:color w:val="000000" w:themeColor="text1"/>
                <w:lang w:val="en-CA"/>
              </w:rPr>
              <w:t xml:space="preserve"> </w:t>
            </w:r>
          </w:p>
          <w:p w:rsidR="003D11BA" w:rsidRPr="006F219D" w:rsidRDefault="003D11BA" w:rsidP="00212E31">
            <w:pPr>
              <w:rPr>
                <w:color w:val="000000" w:themeColor="text1"/>
                <w:lang w:val="en-CA"/>
              </w:rPr>
            </w:pPr>
            <w:r w:rsidRPr="00F029D4">
              <w:rPr>
                <w:color w:val="000000" w:themeColor="text1"/>
                <w:lang w:val="en-CA"/>
              </w:rPr>
              <w:t>When a CAD for HEp-2 IIF is used, expert review</w:t>
            </w:r>
            <w:r w:rsidRPr="006F219D">
              <w:rPr>
                <w:color w:val="000000" w:themeColor="text1"/>
                <w:lang w:val="en-CA"/>
              </w:rPr>
              <w:t xml:space="preserve"> of the patterns remains necessary.</w:t>
            </w:r>
          </w:p>
          <w:p w:rsidR="003D11BA" w:rsidRPr="006F219D" w:rsidRDefault="003D11BA" w:rsidP="00212E31">
            <w:pPr>
              <w:rPr>
                <w:color w:val="000000" w:themeColor="text1"/>
                <w:lang w:val="en-CA"/>
              </w:rPr>
            </w:pPr>
            <w:r w:rsidRPr="006F219D">
              <w:rPr>
                <w:color w:val="000000" w:themeColor="text1"/>
                <w:lang w:val="en-CA"/>
              </w:rPr>
              <w:t>When an computer-aided diagnosis (CAD) system for ANA IIFA is used, the fluorescence intensity score rating (FI measure) provides:</w:t>
            </w:r>
          </w:p>
          <w:p w:rsidR="003D11BA" w:rsidRPr="006E4720" w:rsidRDefault="003D11BA" w:rsidP="003D11BA">
            <w:pPr>
              <w:pStyle w:val="ListParagraph"/>
              <w:numPr>
                <w:ilvl w:val="0"/>
                <w:numId w:val="6"/>
              </w:numPr>
              <w:ind w:left="1307" w:hanging="284"/>
              <w:rPr>
                <w:color w:val="000000" w:themeColor="text1"/>
                <w:lang w:val="en-CA"/>
              </w:rPr>
            </w:pPr>
            <w:r w:rsidRPr="006E4720">
              <w:rPr>
                <w:color w:val="000000" w:themeColor="text1"/>
                <w:lang w:val="en-CA"/>
              </w:rPr>
              <w:t>information on titer estimation</w:t>
            </w:r>
          </w:p>
          <w:p w:rsidR="003D11BA" w:rsidRPr="006E4720" w:rsidRDefault="003D11BA" w:rsidP="003D11BA">
            <w:pPr>
              <w:pStyle w:val="ListParagraph"/>
              <w:numPr>
                <w:ilvl w:val="0"/>
                <w:numId w:val="6"/>
              </w:numPr>
              <w:ind w:left="1307" w:hanging="284"/>
              <w:rPr>
                <w:color w:val="000000" w:themeColor="text1"/>
                <w:lang w:val="en-CA"/>
              </w:rPr>
            </w:pPr>
            <w:r w:rsidRPr="006E4720">
              <w:rPr>
                <w:color w:val="000000" w:themeColor="text1"/>
                <w:lang w:val="en-CA"/>
              </w:rPr>
              <w:t>information on the likelihood for ANA related autoimmune rheumatic diseases (AARD)</w:t>
            </w:r>
          </w:p>
          <w:p w:rsidR="003D11BA" w:rsidRPr="006F219D" w:rsidRDefault="003D11BA" w:rsidP="00212E31">
            <w:pPr>
              <w:rPr>
                <w:lang w:val="en-CA"/>
              </w:rPr>
            </w:pPr>
            <w:r w:rsidRPr="006F219D">
              <w:rPr>
                <w:color w:val="000000" w:themeColor="text1"/>
                <w:lang w:val="en-CA"/>
              </w:rPr>
              <w:t>When a CAD system for HEp-2 IIF is used, evaluation of the reproducibility of the FI measure can contribute to monitoring of the quality of the analysis (e.g. as part of the IQC program)</w:t>
            </w:r>
          </w:p>
        </w:tc>
        <w:tc>
          <w:tcPr>
            <w:tcW w:w="851" w:type="dxa"/>
            <w:shd w:val="clear" w:color="auto" w:fill="FFFFFF" w:themeFill="background1"/>
          </w:tcPr>
          <w:p w:rsidR="003D11BA" w:rsidRDefault="003D11BA" w:rsidP="00212E31">
            <w:pPr>
              <w:jc w:val="center"/>
              <w:rPr>
                <w:color w:val="000000" w:themeColor="text1"/>
                <w:lang w:val="en-CA"/>
              </w:rPr>
            </w:pPr>
            <w:r>
              <w:rPr>
                <w:color w:val="000000" w:themeColor="text1"/>
                <w:lang w:val="en-CA"/>
              </w:rPr>
              <w:t>A/B</w:t>
            </w:r>
          </w:p>
          <w:p w:rsidR="003D11BA" w:rsidRDefault="003D11BA" w:rsidP="00212E31">
            <w:pPr>
              <w:jc w:val="center"/>
              <w:rPr>
                <w:color w:val="000000" w:themeColor="text1"/>
                <w:lang w:val="en-CA"/>
              </w:rPr>
            </w:pPr>
          </w:p>
          <w:p w:rsidR="003D11BA" w:rsidRDefault="003D11BA" w:rsidP="00212E31">
            <w:pPr>
              <w:jc w:val="center"/>
              <w:rPr>
                <w:color w:val="000000" w:themeColor="text1"/>
                <w:lang w:val="en-CA"/>
              </w:rPr>
            </w:pPr>
            <w:r>
              <w:rPr>
                <w:color w:val="000000" w:themeColor="text1"/>
                <w:lang w:val="en-CA"/>
              </w:rPr>
              <w:t>A</w:t>
            </w:r>
          </w:p>
          <w:p w:rsidR="003D11BA" w:rsidRDefault="003D11BA" w:rsidP="00212E31">
            <w:pPr>
              <w:jc w:val="center"/>
              <w:rPr>
                <w:color w:val="000000" w:themeColor="text1"/>
                <w:lang w:val="en-CA"/>
              </w:rPr>
            </w:pPr>
            <w:r>
              <w:rPr>
                <w:color w:val="000000" w:themeColor="text1"/>
                <w:lang w:val="en-CA"/>
              </w:rPr>
              <w:t>A</w:t>
            </w:r>
          </w:p>
          <w:p w:rsidR="003D11BA" w:rsidRDefault="003D11BA" w:rsidP="00212E31">
            <w:pPr>
              <w:ind w:left="360"/>
              <w:jc w:val="center"/>
              <w:rPr>
                <w:color w:val="000000" w:themeColor="text1"/>
                <w:lang w:val="en-CA"/>
              </w:rPr>
            </w:pPr>
          </w:p>
          <w:p w:rsidR="003D11BA" w:rsidRDefault="003D11BA" w:rsidP="00212E31">
            <w:pPr>
              <w:rPr>
                <w:color w:val="000000" w:themeColor="text1"/>
                <w:lang w:val="en-CA"/>
              </w:rPr>
            </w:pPr>
          </w:p>
          <w:p w:rsidR="003D11BA" w:rsidRDefault="003D11BA" w:rsidP="00212E31">
            <w:pPr>
              <w:rPr>
                <w:color w:val="000000" w:themeColor="text1"/>
                <w:lang w:val="en-CA"/>
              </w:rPr>
            </w:pPr>
          </w:p>
          <w:p w:rsidR="003D11BA" w:rsidRDefault="003D11BA" w:rsidP="00212E31">
            <w:pPr>
              <w:ind w:left="360"/>
              <w:jc w:val="center"/>
              <w:rPr>
                <w:color w:val="000000" w:themeColor="text1"/>
                <w:lang w:val="en-CA"/>
              </w:rPr>
            </w:pPr>
          </w:p>
          <w:p w:rsidR="003D11BA" w:rsidRPr="00BC1CDB" w:rsidRDefault="003D11BA" w:rsidP="00212E31">
            <w:pPr>
              <w:ind w:left="39"/>
              <w:jc w:val="center"/>
              <w:rPr>
                <w:color w:val="000000" w:themeColor="text1"/>
                <w:lang w:val="en-CA"/>
              </w:rPr>
            </w:pPr>
            <w:r>
              <w:rPr>
                <w:color w:val="000000" w:themeColor="text1"/>
                <w:lang w:val="en-CA"/>
              </w:rPr>
              <w:t>A</w:t>
            </w:r>
          </w:p>
        </w:tc>
        <w:tc>
          <w:tcPr>
            <w:tcW w:w="3402" w:type="dxa"/>
            <w:shd w:val="clear" w:color="auto" w:fill="FFFFFF" w:themeFill="background1"/>
          </w:tcPr>
          <w:p w:rsidR="003D11BA" w:rsidRDefault="003D11BA" w:rsidP="00212E31">
            <w:pPr>
              <w:ind w:left="360"/>
              <w:jc w:val="center"/>
              <w:rPr>
                <w:color w:val="000000" w:themeColor="text1"/>
                <w:lang w:val="en-CA"/>
              </w:rPr>
            </w:pPr>
            <w:r>
              <w:rPr>
                <w:color w:val="000000" w:themeColor="text1"/>
                <w:lang w:val="en-CA"/>
              </w:rPr>
              <w:t>(91-102), (107)</w:t>
            </w:r>
          </w:p>
          <w:p w:rsidR="003D11BA" w:rsidRDefault="003D11BA" w:rsidP="00212E31">
            <w:pPr>
              <w:ind w:left="360"/>
              <w:jc w:val="center"/>
              <w:rPr>
                <w:color w:val="000000" w:themeColor="text1"/>
                <w:lang w:val="en-CA"/>
              </w:rPr>
            </w:pPr>
          </w:p>
          <w:p w:rsidR="003D11BA" w:rsidRDefault="003D11BA" w:rsidP="00212E31">
            <w:pPr>
              <w:ind w:left="360"/>
              <w:jc w:val="center"/>
              <w:rPr>
                <w:color w:val="000000" w:themeColor="text1"/>
                <w:lang w:val="en-CA"/>
              </w:rPr>
            </w:pPr>
            <w:r>
              <w:rPr>
                <w:color w:val="000000" w:themeColor="text1"/>
                <w:lang w:val="en-CA"/>
              </w:rPr>
              <w:t>(93-95), (100), (103), (107)</w:t>
            </w:r>
          </w:p>
          <w:p w:rsidR="003D11BA" w:rsidRDefault="003D11BA" w:rsidP="00212E31">
            <w:pPr>
              <w:ind w:left="360"/>
              <w:jc w:val="center"/>
              <w:rPr>
                <w:color w:val="000000" w:themeColor="text1"/>
                <w:lang w:val="en-CA"/>
              </w:rPr>
            </w:pPr>
            <w:r>
              <w:rPr>
                <w:color w:val="000000" w:themeColor="text1"/>
                <w:lang w:val="en-CA"/>
              </w:rPr>
              <w:t>(91-94), (100), (103), (105), (110-111)</w:t>
            </w:r>
          </w:p>
          <w:p w:rsidR="003D11BA" w:rsidRDefault="003D11BA" w:rsidP="00212E31">
            <w:pPr>
              <w:jc w:val="center"/>
              <w:rPr>
                <w:color w:val="000000" w:themeColor="text1"/>
                <w:lang w:val="en-CA"/>
              </w:rPr>
            </w:pPr>
          </w:p>
          <w:p w:rsidR="003D11BA" w:rsidRDefault="003D11BA" w:rsidP="00212E31">
            <w:pPr>
              <w:ind w:left="360"/>
              <w:jc w:val="center"/>
              <w:rPr>
                <w:color w:val="000000" w:themeColor="text1"/>
                <w:lang w:val="en-CA"/>
              </w:rPr>
            </w:pPr>
          </w:p>
          <w:p w:rsidR="003D11BA" w:rsidRDefault="003D11BA" w:rsidP="00212E31">
            <w:pPr>
              <w:ind w:left="360"/>
              <w:jc w:val="center"/>
              <w:rPr>
                <w:color w:val="000000" w:themeColor="text1"/>
                <w:lang w:val="en-CA"/>
              </w:rPr>
            </w:pPr>
          </w:p>
          <w:p w:rsidR="003D11BA" w:rsidRPr="00BC1CDB" w:rsidRDefault="003D11BA" w:rsidP="00212E31">
            <w:pPr>
              <w:jc w:val="center"/>
              <w:rPr>
                <w:color w:val="000000" w:themeColor="text1"/>
                <w:lang w:val="en-CA"/>
              </w:rPr>
            </w:pPr>
            <w:r>
              <w:rPr>
                <w:color w:val="000000" w:themeColor="text1"/>
                <w:lang w:val="en-CA"/>
              </w:rPr>
              <w:t>(93-94), (109), (112-114)</w:t>
            </w:r>
          </w:p>
        </w:tc>
        <w:tc>
          <w:tcPr>
            <w:tcW w:w="1276" w:type="dxa"/>
            <w:shd w:val="clear" w:color="auto" w:fill="FFFFFF" w:themeFill="background1"/>
          </w:tcPr>
          <w:p w:rsidR="003D11BA" w:rsidRDefault="003D11BA" w:rsidP="00212E31">
            <w:pPr>
              <w:ind w:left="360"/>
              <w:jc w:val="center"/>
              <w:rPr>
                <w:color w:val="000000" w:themeColor="text1"/>
                <w:lang w:val="en-CA"/>
              </w:rPr>
            </w:pPr>
          </w:p>
        </w:tc>
      </w:tr>
      <w:tr w:rsidR="003D11BA" w:rsidRPr="00CA415F" w:rsidTr="00212E31">
        <w:tc>
          <w:tcPr>
            <w:tcW w:w="704" w:type="dxa"/>
            <w:shd w:val="clear" w:color="auto" w:fill="E7E6E6" w:themeFill="background2"/>
          </w:tcPr>
          <w:p w:rsidR="003D11BA" w:rsidRPr="00654FAA" w:rsidRDefault="003D11BA" w:rsidP="00212E31">
            <w:pPr>
              <w:rPr>
                <w:i/>
                <w:lang w:val="en-CA"/>
              </w:rPr>
            </w:pPr>
          </w:p>
        </w:tc>
        <w:tc>
          <w:tcPr>
            <w:tcW w:w="8930" w:type="dxa"/>
            <w:shd w:val="clear" w:color="auto" w:fill="E7E6E6" w:themeFill="background2"/>
          </w:tcPr>
          <w:p w:rsidR="003D11BA" w:rsidRPr="00654FAA" w:rsidRDefault="003D11BA" w:rsidP="00212E31">
            <w:pPr>
              <w:rPr>
                <w:i/>
                <w:lang w:val="en-CA"/>
              </w:rPr>
            </w:pPr>
            <w:r w:rsidRPr="00654FAA">
              <w:rPr>
                <w:i/>
                <w:lang w:val="en-CA"/>
              </w:rPr>
              <w:t>Quality assurance approaches in HEp-2 IIF</w:t>
            </w:r>
          </w:p>
        </w:tc>
        <w:tc>
          <w:tcPr>
            <w:tcW w:w="851" w:type="dxa"/>
            <w:shd w:val="clear" w:color="auto" w:fill="E7E6E6" w:themeFill="background2"/>
          </w:tcPr>
          <w:p w:rsidR="003D11BA" w:rsidRPr="00654FAA" w:rsidRDefault="003D11BA" w:rsidP="00212E31">
            <w:pPr>
              <w:jc w:val="center"/>
              <w:rPr>
                <w:i/>
                <w:lang w:val="en-CA"/>
              </w:rPr>
            </w:pPr>
          </w:p>
        </w:tc>
        <w:tc>
          <w:tcPr>
            <w:tcW w:w="3402" w:type="dxa"/>
            <w:shd w:val="clear" w:color="auto" w:fill="E7E6E6" w:themeFill="background2"/>
          </w:tcPr>
          <w:p w:rsidR="003D11BA" w:rsidRPr="00654FAA" w:rsidRDefault="003D11BA" w:rsidP="00212E31">
            <w:pPr>
              <w:jc w:val="center"/>
              <w:rPr>
                <w:i/>
                <w:lang w:val="en-CA"/>
              </w:rPr>
            </w:pPr>
          </w:p>
        </w:tc>
        <w:tc>
          <w:tcPr>
            <w:tcW w:w="1276" w:type="dxa"/>
            <w:shd w:val="clear" w:color="auto" w:fill="E7E6E6" w:themeFill="background2"/>
          </w:tcPr>
          <w:p w:rsidR="003D11BA" w:rsidRPr="00654FAA" w:rsidRDefault="003D11BA" w:rsidP="00212E31">
            <w:pPr>
              <w:jc w:val="center"/>
              <w:rPr>
                <w:i/>
                <w:lang w:val="en-CA"/>
              </w:rPr>
            </w:pPr>
          </w:p>
        </w:tc>
      </w:tr>
      <w:tr w:rsidR="003D11BA" w:rsidRPr="001E0009" w:rsidTr="00212E31">
        <w:tc>
          <w:tcPr>
            <w:tcW w:w="704" w:type="dxa"/>
            <w:shd w:val="clear" w:color="auto" w:fill="FFFFFF" w:themeFill="background1"/>
          </w:tcPr>
          <w:p w:rsidR="003D11BA" w:rsidRDefault="003D11BA" w:rsidP="00212E31">
            <w:pPr>
              <w:pStyle w:val="ListParagraph"/>
              <w:tabs>
                <w:tab w:val="left" w:pos="25"/>
              </w:tabs>
              <w:ind w:left="25" w:right="-1103"/>
              <w:rPr>
                <w:lang w:val="en-CA"/>
              </w:rPr>
            </w:pPr>
            <w:r>
              <w:rPr>
                <w:lang w:val="en-CA"/>
              </w:rPr>
              <w:t>20</w:t>
            </w: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21</w:t>
            </w: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22</w:t>
            </w: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23</w:t>
            </w:r>
          </w:p>
          <w:p w:rsidR="003D11BA" w:rsidRDefault="003D11BA" w:rsidP="00212E31">
            <w:pPr>
              <w:pStyle w:val="ListParagraph"/>
              <w:tabs>
                <w:tab w:val="left" w:pos="25"/>
              </w:tabs>
              <w:ind w:left="25" w:right="-1103"/>
              <w:rPr>
                <w:lang w:val="en-CA"/>
              </w:rPr>
            </w:pPr>
            <w:r>
              <w:rPr>
                <w:lang w:val="en-CA"/>
              </w:rPr>
              <w:t>24</w:t>
            </w:r>
          </w:p>
          <w:p w:rsidR="003D11BA" w:rsidRPr="008A0664"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25</w:t>
            </w: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26</w:t>
            </w:r>
          </w:p>
          <w:p w:rsidR="003D11BA" w:rsidRDefault="003D11BA" w:rsidP="00212E31">
            <w:pPr>
              <w:pStyle w:val="ListParagraph"/>
              <w:tabs>
                <w:tab w:val="left" w:pos="25"/>
              </w:tabs>
              <w:ind w:left="25" w:right="-1103"/>
              <w:rPr>
                <w:lang w:val="en-CA"/>
              </w:rPr>
            </w:pPr>
          </w:p>
          <w:p w:rsidR="003D11BA" w:rsidRDefault="003D11BA" w:rsidP="00212E31">
            <w:pPr>
              <w:pStyle w:val="ListParagraph"/>
              <w:tabs>
                <w:tab w:val="left" w:pos="25"/>
              </w:tabs>
              <w:ind w:left="25" w:right="-1103"/>
              <w:rPr>
                <w:lang w:val="en-CA"/>
              </w:rPr>
            </w:pPr>
            <w:r>
              <w:rPr>
                <w:lang w:val="en-CA"/>
              </w:rPr>
              <w:t>27</w:t>
            </w:r>
          </w:p>
          <w:p w:rsidR="003D11BA" w:rsidRPr="003E70AA" w:rsidRDefault="003D11BA" w:rsidP="00212E31">
            <w:pPr>
              <w:tabs>
                <w:tab w:val="left" w:pos="25"/>
              </w:tabs>
              <w:ind w:right="-1103"/>
              <w:rPr>
                <w:lang w:val="en-CA"/>
              </w:rPr>
            </w:pPr>
          </w:p>
        </w:tc>
        <w:tc>
          <w:tcPr>
            <w:tcW w:w="8930" w:type="dxa"/>
            <w:shd w:val="clear" w:color="auto" w:fill="FFFFFF" w:themeFill="background1"/>
          </w:tcPr>
          <w:p w:rsidR="003D11BA" w:rsidRPr="006F219D" w:rsidRDefault="003D11BA" w:rsidP="00212E31">
            <w:pPr>
              <w:rPr>
                <w:lang w:val="en-CA"/>
              </w:rPr>
            </w:pPr>
            <w:r w:rsidRPr="006F219D">
              <w:rPr>
                <w:lang w:val="en-CA"/>
              </w:rPr>
              <w:t xml:space="preserve">Performance of HEP-2 IIF should be assured by educational programs and evaluated by internal (inter-observer variation) and external quality assessment programs. </w:t>
            </w:r>
          </w:p>
          <w:p w:rsidR="003D11BA" w:rsidRPr="006F219D" w:rsidRDefault="003D11BA" w:rsidP="00212E31">
            <w:pPr>
              <w:rPr>
                <w:lang w:val="en-CA"/>
              </w:rPr>
            </w:pPr>
            <w:r w:rsidRPr="006F219D">
              <w:rPr>
                <w:lang w:val="en-CA"/>
              </w:rPr>
              <w:t>Factors minimizing HEP-2 IIF inter-observer variation include application of double reading, usage of ICAP nomenclature and CAP monitor reading.</w:t>
            </w:r>
          </w:p>
          <w:p w:rsidR="003D11BA" w:rsidRPr="006F219D" w:rsidRDefault="003D11BA" w:rsidP="00212E31">
            <w:pPr>
              <w:rPr>
                <w:lang w:val="en-CA"/>
              </w:rPr>
            </w:pPr>
            <w:r w:rsidRPr="006F219D">
              <w:rPr>
                <w:lang w:val="en-CA"/>
              </w:rPr>
              <w:t>At least 2 iQC samples (one negative and one low positive [ with a target level matching a LR of 2 to 5 for ANA-associated rheumatic diseases]) should be included in each run and judged semi-quantitatively (either by end-point titration or automated intensity scoring)</w:t>
            </w:r>
          </w:p>
          <w:p w:rsidR="003D11BA" w:rsidRPr="006F219D" w:rsidRDefault="003D11BA" w:rsidP="00212E31">
            <w:pPr>
              <w:rPr>
                <w:lang w:val="en-CA"/>
              </w:rPr>
            </w:pPr>
            <w:r w:rsidRPr="006F219D">
              <w:rPr>
                <w:lang w:val="en-CA"/>
              </w:rPr>
              <w:t>The IQC samples are preferable of patient origin, either pooled or unique samples</w:t>
            </w:r>
          </w:p>
          <w:p w:rsidR="003D11BA" w:rsidRPr="006F219D" w:rsidRDefault="003D11BA" w:rsidP="00212E31">
            <w:pPr>
              <w:rPr>
                <w:lang w:val="en-CA"/>
              </w:rPr>
            </w:pPr>
            <w:r w:rsidRPr="006F219D">
              <w:rPr>
                <w:lang w:val="en-CA"/>
              </w:rPr>
              <w:t>The IQC samples should be prepared as patient samples (thus also diluted) to allow monitoring of the whole assay procedure</w:t>
            </w:r>
          </w:p>
          <w:p w:rsidR="003D11BA" w:rsidRPr="006F219D" w:rsidRDefault="003D11BA" w:rsidP="00212E31">
            <w:pPr>
              <w:rPr>
                <w:i/>
                <w:lang w:val="en-CA"/>
              </w:rPr>
            </w:pPr>
            <w:r w:rsidRPr="006F219D">
              <w:rPr>
                <w:lang w:val="en-CA"/>
              </w:rPr>
              <w:t>The preferred pattern / reactivity of the positive control sample is isolated homogeneous or speckled (optionally with documented SSA specificity)</w:t>
            </w:r>
          </w:p>
          <w:p w:rsidR="003D11BA" w:rsidRPr="006F219D" w:rsidRDefault="003D11BA" w:rsidP="00212E31">
            <w:pPr>
              <w:rPr>
                <w:i/>
                <w:lang w:val="en-CA"/>
              </w:rPr>
            </w:pPr>
            <w:r w:rsidRPr="006F219D">
              <w:rPr>
                <w:lang w:val="en-CA"/>
              </w:rPr>
              <w:t>Monitoring of the % of (low, medium, high) positive results in Levey-Jennings plots allows for the evaluation of assay variability over time (e.g. to document the effect of lot changes)</w:t>
            </w:r>
          </w:p>
          <w:p w:rsidR="003D11BA" w:rsidRPr="00331A3F" w:rsidRDefault="003D11BA" w:rsidP="00212E31">
            <w:pPr>
              <w:rPr>
                <w:lang w:val="en-CA"/>
              </w:rPr>
            </w:pPr>
            <w:r w:rsidRPr="006F219D">
              <w:rPr>
                <w:lang w:val="en-CA"/>
              </w:rPr>
              <w:t>When an automated system for ANA IFA is used: monitoring of the IQC sample and median patient FI in Levey-Jennings plots is a very sensitive method to detect assay variability over time (e.g. to document the effect of lot changes)</w:t>
            </w:r>
          </w:p>
        </w:tc>
        <w:tc>
          <w:tcPr>
            <w:tcW w:w="851" w:type="dxa"/>
            <w:shd w:val="clear" w:color="auto" w:fill="FFFFFF" w:themeFill="background1"/>
          </w:tcPr>
          <w:p w:rsidR="003D11BA" w:rsidRDefault="003D11BA" w:rsidP="00212E31">
            <w:pPr>
              <w:ind w:left="39"/>
              <w:jc w:val="center"/>
              <w:rPr>
                <w:lang w:val="en-CA"/>
              </w:rPr>
            </w:pPr>
            <w:r>
              <w:rPr>
                <w:lang w:val="en-CA"/>
              </w:rPr>
              <w:t>A</w:t>
            </w:r>
          </w:p>
          <w:p w:rsidR="003D11BA" w:rsidRDefault="003D11BA" w:rsidP="00212E31">
            <w:pPr>
              <w:rPr>
                <w:lang w:val="en-CA"/>
              </w:rPr>
            </w:pPr>
          </w:p>
          <w:p w:rsidR="003D11BA" w:rsidRDefault="003D11BA" w:rsidP="00212E31">
            <w:pPr>
              <w:ind w:left="39"/>
              <w:jc w:val="center"/>
              <w:rPr>
                <w:lang w:val="en-CA"/>
              </w:rPr>
            </w:pPr>
            <w:r>
              <w:rPr>
                <w:lang w:val="en-CA"/>
              </w:rPr>
              <w:t>A/B</w:t>
            </w:r>
          </w:p>
          <w:p w:rsidR="003D11BA" w:rsidRDefault="003D11BA" w:rsidP="00212E31">
            <w:pPr>
              <w:ind w:left="360"/>
              <w:jc w:val="center"/>
              <w:rPr>
                <w:lang w:val="en-CA"/>
              </w:rPr>
            </w:pPr>
          </w:p>
          <w:p w:rsidR="003D11BA" w:rsidRDefault="003D11BA" w:rsidP="00212E31">
            <w:pPr>
              <w:ind w:left="39"/>
              <w:jc w:val="center"/>
              <w:rPr>
                <w:lang w:val="en-CA"/>
              </w:rPr>
            </w:pPr>
            <w:r>
              <w:rPr>
                <w:lang w:val="en-CA"/>
              </w:rPr>
              <w:t>A/B</w:t>
            </w:r>
          </w:p>
          <w:p w:rsidR="003D11BA" w:rsidRDefault="003D11BA" w:rsidP="00212E31">
            <w:pPr>
              <w:ind w:left="360"/>
              <w:jc w:val="center"/>
              <w:rPr>
                <w:lang w:val="en-CA"/>
              </w:rPr>
            </w:pPr>
          </w:p>
          <w:p w:rsidR="003D11BA" w:rsidRDefault="003D11BA" w:rsidP="00212E31">
            <w:pPr>
              <w:rPr>
                <w:lang w:val="en-CA"/>
              </w:rPr>
            </w:pPr>
          </w:p>
          <w:p w:rsidR="003D11BA" w:rsidRDefault="003D11BA" w:rsidP="00212E31">
            <w:pPr>
              <w:ind w:left="39"/>
              <w:jc w:val="center"/>
              <w:rPr>
                <w:lang w:val="en-CA"/>
              </w:rPr>
            </w:pPr>
            <w:r>
              <w:rPr>
                <w:lang w:val="en-CA"/>
              </w:rPr>
              <w:t>A/B</w:t>
            </w:r>
          </w:p>
          <w:p w:rsidR="003D11BA" w:rsidRDefault="003D11BA" w:rsidP="00212E31">
            <w:pPr>
              <w:ind w:left="39"/>
              <w:jc w:val="center"/>
              <w:rPr>
                <w:lang w:val="en-CA"/>
              </w:rPr>
            </w:pPr>
            <w:r>
              <w:rPr>
                <w:lang w:val="en-CA"/>
              </w:rPr>
              <w:t>A</w:t>
            </w:r>
          </w:p>
          <w:p w:rsidR="003D11BA" w:rsidRDefault="003D11BA" w:rsidP="00212E31">
            <w:pPr>
              <w:ind w:left="39"/>
              <w:jc w:val="center"/>
              <w:rPr>
                <w:lang w:val="en-CA"/>
              </w:rPr>
            </w:pPr>
          </w:p>
          <w:p w:rsidR="003D11BA" w:rsidRDefault="003D11BA" w:rsidP="00212E31">
            <w:pPr>
              <w:jc w:val="center"/>
              <w:rPr>
                <w:lang w:val="en-CA"/>
              </w:rPr>
            </w:pPr>
            <w:r>
              <w:rPr>
                <w:lang w:val="en-CA"/>
              </w:rPr>
              <w:t>A/B</w:t>
            </w:r>
          </w:p>
          <w:p w:rsidR="003D11BA" w:rsidRDefault="003D11BA" w:rsidP="00212E31">
            <w:pPr>
              <w:ind w:left="360"/>
              <w:jc w:val="center"/>
              <w:rPr>
                <w:lang w:val="en-CA"/>
              </w:rPr>
            </w:pPr>
          </w:p>
          <w:p w:rsidR="003D11BA" w:rsidRDefault="003D11BA" w:rsidP="00212E31">
            <w:pPr>
              <w:ind w:left="39"/>
              <w:jc w:val="center"/>
              <w:rPr>
                <w:lang w:val="en-CA"/>
              </w:rPr>
            </w:pPr>
            <w:r>
              <w:rPr>
                <w:lang w:val="en-CA"/>
              </w:rPr>
              <w:t>A</w:t>
            </w:r>
          </w:p>
          <w:p w:rsidR="003D11BA" w:rsidRDefault="003D11BA" w:rsidP="00212E31">
            <w:pPr>
              <w:ind w:left="360"/>
              <w:jc w:val="center"/>
              <w:rPr>
                <w:lang w:val="en-CA"/>
              </w:rPr>
            </w:pPr>
          </w:p>
          <w:p w:rsidR="003D11BA" w:rsidRPr="00BC1CDB" w:rsidRDefault="003D11BA" w:rsidP="00212E31">
            <w:pPr>
              <w:jc w:val="center"/>
              <w:rPr>
                <w:lang w:val="en-CA"/>
              </w:rPr>
            </w:pPr>
            <w:r>
              <w:rPr>
                <w:lang w:val="en-CA"/>
              </w:rPr>
              <w:t>A</w:t>
            </w:r>
          </w:p>
        </w:tc>
        <w:tc>
          <w:tcPr>
            <w:tcW w:w="3402" w:type="dxa"/>
            <w:shd w:val="clear" w:color="auto" w:fill="FFFFFF" w:themeFill="background1"/>
          </w:tcPr>
          <w:p w:rsidR="003D11BA" w:rsidRDefault="003D11BA" w:rsidP="00212E31">
            <w:pPr>
              <w:ind w:left="360"/>
              <w:jc w:val="center"/>
              <w:rPr>
                <w:lang w:val="en-CA"/>
              </w:rPr>
            </w:pPr>
            <w:r>
              <w:rPr>
                <w:lang w:val="en-CA"/>
              </w:rPr>
              <w:t>(115-116), (120)</w:t>
            </w:r>
          </w:p>
          <w:p w:rsidR="003D11BA" w:rsidRDefault="003D11BA" w:rsidP="00212E31">
            <w:pPr>
              <w:ind w:left="360"/>
              <w:jc w:val="center"/>
              <w:rPr>
                <w:lang w:val="en-CA"/>
              </w:rPr>
            </w:pPr>
          </w:p>
          <w:p w:rsidR="003D11BA" w:rsidRDefault="003D11BA" w:rsidP="00212E31">
            <w:pPr>
              <w:ind w:left="360"/>
              <w:jc w:val="center"/>
              <w:rPr>
                <w:lang w:val="en-CA"/>
              </w:rPr>
            </w:pPr>
            <w:r>
              <w:rPr>
                <w:lang w:val="en-CA"/>
              </w:rPr>
              <w:t>(69), (116-117), (121-122)</w:t>
            </w:r>
          </w:p>
          <w:p w:rsidR="003D11BA" w:rsidRDefault="003D11BA" w:rsidP="00212E31">
            <w:pPr>
              <w:ind w:left="360"/>
              <w:jc w:val="center"/>
              <w:rPr>
                <w:lang w:val="en-CA"/>
              </w:rPr>
            </w:pPr>
          </w:p>
          <w:p w:rsidR="003D11BA" w:rsidRDefault="003D11BA" w:rsidP="00212E31">
            <w:pPr>
              <w:ind w:left="360"/>
              <w:jc w:val="center"/>
              <w:rPr>
                <w:lang w:val="en-CA"/>
              </w:rPr>
            </w:pPr>
            <w:r>
              <w:rPr>
                <w:lang w:val="en-CA"/>
              </w:rPr>
              <w:t>(43), (8), (116-117)</w:t>
            </w:r>
          </w:p>
          <w:p w:rsidR="003D11BA" w:rsidRDefault="003D11BA" w:rsidP="00212E31">
            <w:pPr>
              <w:ind w:left="360"/>
              <w:jc w:val="center"/>
              <w:rPr>
                <w:lang w:val="en-CA"/>
              </w:rPr>
            </w:pPr>
          </w:p>
          <w:p w:rsidR="003D11BA" w:rsidRDefault="003D11BA" w:rsidP="00212E31">
            <w:pPr>
              <w:ind w:left="360"/>
              <w:jc w:val="center"/>
              <w:rPr>
                <w:lang w:val="en-CA"/>
              </w:rPr>
            </w:pPr>
          </w:p>
          <w:p w:rsidR="003D11BA" w:rsidRDefault="003D11BA" w:rsidP="00212E31">
            <w:pPr>
              <w:ind w:left="360"/>
              <w:jc w:val="center"/>
              <w:rPr>
                <w:lang w:val="en-CA"/>
              </w:rPr>
            </w:pPr>
            <w:r>
              <w:rPr>
                <w:lang w:val="en-CA"/>
              </w:rPr>
              <w:t>(112), (116-117)</w:t>
            </w:r>
          </w:p>
          <w:p w:rsidR="003D11BA" w:rsidRDefault="003D11BA" w:rsidP="00212E31">
            <w:pPr>
              <w:ind w:left="360"/>
              <w:jc w:val="center"/>
              <w:rPr>
                <w:lang w:val="en-CA"/>
              </w:rPr>
            </w:pPr>
            <w:r>
              <w:rPr>
                <w:lang w:val="en-CA"/>
              </w:rPr>
              <w:t>(112)</w:t>
            </w:r>
          </w:p>
          <w:p w:rsidR="003D11BA" w:rsidRDefault="003D11BA" w:rsidP="00212E31">
            <w:pPr>
              <w:rPr>
                <w:lang w:val="en-CA"/>
              </w:rPr>
            </w:pPr>
          </w:p>
          <w:p w:rsidR="003D11BA" w:rsidRDefault="003D11BA" w:rsidP="00212E31">
            <w:pPr>
              <w:ind w:left="360"/>
              <w:jc w:val="center"/>
              <w:rPr>
                <w:lang w:val="en-CA"/>
              </w:rPr>
            </w:pPr>
            <w:r>
              <w:rPr>
                <w:lang w:val="en-CA"/>
              </w:rPr>
              <w:t>(108), (112), (117)</w:t>
            </w:r>
          </w:p>
          <w:p w:rsidR="003D11BA" w:rsidRDefault="003D11BA" w:rsidP="00212E31">
            <w:pPr>
              <w:ind w:left="360"/>
              <w:jc w:val="center"/>
              <w:rPr>
                <w:lang w:val="en-CA"/>
              </w:rPr>
            </w:pPr>
          </w:p>
          <w:p w:rsidR="003D11BA" w:rsidRDefault="003D11BA" w:rsidP="00212E31">
            <w:pPr>
              <w:ind w:left="360"/>
              <w:jc w:val="center"/>
              <w:rPr>
                <w:lang w:val="en-CA"/>
              </w:rPr>
            </w:pPr>
            <w:r>
              <w:rPr>
                <w:lang w:val="en-CA"/>
              </w:rPr>
              <w:t>(43), (112), (114)</w:t>
            </w:r>
          </w:p>
          <w:p w:rsidR="003D11BA" w:rsidRDefault="003D11BA" w:rsidP="00212E31">
            <w:pPr>
              <w:ind w:left="360"/>
              <w:jc w:val="center"/>
              <w:rPr>
                <w:lang w:val="en-CA"/>
              </w:rPr>
            </w:pPr>
          </w:p>
          <w:p w:rsidR="003D11BA" w:rsidRPr="00BC1CDB" w:rsidRDefault="003D11BA" w:rsidP="00212E31">
            <w:pPr>
              <w:ind w:left="360"/>
              <w:jc w:val="center"/>
              <w:rPr>
                <w:lang w:val="en-CA"/>
              </w:rPr>
            </w:pPr>
            <w:r>
              <w:rPr>
                <w:lang w:val="en-CA"/>
              </w:rPr>
              <w:t>(112), (114)</w:t>
            </w:r>
          </w:p>
        </w:tc>
        <w:tc>
          <w:tcPr>
            <w:tcW w:w="1276" w:type="dxa"/>
            <w:shd w:val="clear" w:color="auto" w:fill="FFFFFF" w:themeFill="background1"/>
          </w:tcPr>
          <w:p w:rsidR="003D11BA" w:rsidRDefault="003D11BA" w:rsidP="00212E31">
            <w:pPr>
              <w:ind w:left="360"/>
              <w:jc w:val="center"/>
              <w:rPr>
                <w:lang w:val="en-CA"/>
              </w:rPr>
            </w:pPr>
          </w:p>
        </w:tc>
      </w:tr>
      <w:tr w:rsidR="003D11BA" w:rsidRPr="00CA415F" w:rsidTr="00212E31">
        <w:tc>
          <w:tcPr>
            <w:tcW w:w="704" w:type="dxa"/>
            <w:shd w:val="clear" w:color="auto" w:fill="D0CECE" w:themeFill="background2" w:themeFillShade="E6"/>
          </w:tcPr>
          <w:p w:rsidR="003D11BA" w:rsidRPr="001A4D37" w:rsidRDefault="003D11BA" w:rsidP="00212E31">
            <w:pPr>
              <w:rPr>
                <w:i/>
                <w:lang w:val="en-CA"/>
              </w:rPr>
            </w:pPr>
          </w:p>
        </w:tc>
        <w:tc>
          <w:tcPr>
            <w:tcW w:w="8930" w:type="dxa"/>
            <w:shd w:val="clear" w:color="auto" w:fill="D0CECE" w:themeFill="background2" w:themeFillShade="E6"/>
          </w:tcPr>
          <w:p w:rsidR="003D11BA" w:rsidRPr="001A4D37" w:rsidRDefault="003D11BA" w:rsidP="00212E31">
            <w:pPr>
              <w:rPr>
                <w:i/>
                <w:lang w:val="en-CA"/>
              </w:rPr>
            </w:pPr>
            <w:r w:rsidRPr="001A4D37">
              <w:rPr>
                <w:i/>
                <w:lang w:val="en-CA"/>
              </w:rPr>
              <w:t>Reagent lot acceptance and monitorin</w:t>
            </w:r>
            <w:r>
              <w:rPr>
                <w:i/>
                <w:lang w:val="en-CA"/>
              </w:rPr>
              <w:t>g</w:t>
            </w:r>
            <w:r w:rsidRPr="001A4D37">
              <w:rPr>
                <w:i/>
                <w:lang w:val="en-CA"/>
              </w:rPr>
              <w:t xml:space="preserve"> of lot-to-lot variability</w:t>
            </w:r>
          </w:p>
        </w:tc>
        <w:tc>
          <w:tcPr>
            <w:tcW w:w="851" w:type="dxa"/>
            <w:shd w:val="clear" w:color="auto" w:fill="D0CECE" w:themeFill="background2" w:themeFillShade="E6"/>
          </w:tcPr>
          <w:p w:rsidR="003D11BA" w:rsidRPr="001A4D37" w:rsidRDefault="003D11BA" w:rsidP="00212E31">
            <w:pPr>
              <w:jc w:val="center"/>
              <w:rPr>
                <w:i/>
                <w:lang w:val="en-CA"/>
              </w:rPr>
            </w:pPr>
          </w:p>
        </w:tc>
        <w:tc>
          <w:tcPr>
            <w:tcW w:w="3402" w:type="dxa"/>
            <w:shd w:val="clear" w:color="auto" w:fill="D0CECE" w:themeFill="background2" w:themeFillShade="E6"/>
          </w:tcPr>
          <w:p w:rsidR="003D11BA" w:rsidRPr="001A4D37" w:rsidRDefault="003D11BA" w:rsidP="00212E31">
            <w:pPr>
              <w:jc w:val="center"/>
              <w:rPr>
                <w:i/>
                <w:lang w:val="en-CA"/>
              </w:rPr>
            </w:pPr>
          </w:p>
        </w:tc>
        <w:tc>
          <w:tcPr>
            <w:tcW w:w="1276" w:type="dxa"/>
            <w:shd w:val="clear" w:color="auto" w:fill="D0CECE" w:themeFill="background2" w:themeFillShade="E6"/>
          </w:tcPr>
          <w:p w:rsidR="003D11BA" w:rsidRPr="001A4D37" w:rsidRDefault="003D11BA" w:rsidP="00212E31">
            <w:pPr>
              <w:jc w:val="center"/>
              <w:rPr>
                <w:i/>
                <w:lang w:val="en-CA"/>
              </w:rPr>
            </w:pPr>
          </w:p>
        </w:tc>
      </w:tr>
      <w:tr w:rsidR="003D11BA" w:rsidRPr="00EC0609" w:rsidTr="00212E31">
        <w:tc>
          <w:tcPr>
            <w:tcW w:w="704" w:type="dxa"/>
          </w:tcPr>
          <w:p w:rsidR="003D11BA" w:rsidRDefault="003D11BA" w:rsidP="00212E31">
            <w:pPr>
              <w:pStyle w:val="ListParagraph"/>
              <w:ind w:left="0"/>
              <w:rPr>
                <w:lang w:val="en-US"/>
              </w:rPr>
            </w:pPr>
            <w:r>
              <w:rPr>
                <w:lang w:val="en-US"/>
              </w:rPr>
              <w:t>28</w:t>
            </w:r>
          </w:p>
          <w:p w:rsidR="003D11BA" w:rsidRPr="001A4D37" w:rsidRDefault="003D11BA" w:rsidP="00212E31">
            <w:pPr>
              <w:pStyle w:val="ListParagraph"/>
              <w:ind w:left="0"/>
              <w:rPr>
                <w:lang w:val="en-US"/>
              </w:rPr>
            </w:pPr>
          </w:p>
        </w:tc>
        <w:tc>
          <w:tcPr>
            <w:tcW w:w="8930" w:type="dxa"/>
            <w:shd w:val="clear" w:color="auto" w:fill="auto"/>
          </w:tcPr>
          <w:p w:rsidR="003D11BA" w:rsidRPr="00852C11" w:rsidRDefault="003D11BA" w:rsidP="00212E31">
            <w:pPr>
              <w:rPr>
                <w:lang w:val="en-US"/>
              </w:rPr>
            </w:pPr>
            <w:r w:rsidRPr="00852C11">
              <w:rPr>
                <w:lang w:val="en-US"/>
              </w:rPr>
              <w:t xml:space="preserve">Lot-to-lot variability of different conjugate/substrate combinations should be evaluated before implementing a new lot. </w:t>
            </w:r>
            <w:r>
              <w:rPr>
                <w:lang w:val="en-US"/>
              </w:rPr>
              <w:t>This can</w:t>
            </w:r>
            <w:r w:rsidRPr="00852C11">
              <w:rPr>
                <w:lang w:val="en-US"/>
              </w:rPr>
              <w:t xml:space="preserve"> be done by using samples selected for this purpose minimally covering different cell compartments (nucleus and cytoplasm) and different titer levels.</w:t>
            </w:r>
          </w:p>
        </w:tc>
        <w:tc>
          <w:tcPr>
            <w:tcW w:w="851" w:type="dxa"/>
          </w:tcPr>
          <w:p w:rsidR="003D11BA" w:rsidRDefault="003D11BA" w:rsidP="00212E31">
            <w:pPr>
              <w:jc w:val="center"/>
              <w:rPr>
                <w:lang w:val="en-US"/>
              </w:rPr>
            </w:pPr>
            <w:r>
              <w:rPr>
                <w:lang w:val="en-US"/>
              </w:rPr>
              <w:t>A/B</w:t>
            </w:r>
          </w:p>
          <w:p w:rsidR="003D11BA" w:rsidRDefault="003D11BA" w:rsidP="00212E31">
            <w:pPr>
              <w:jc w:val="center"/>
              <w:rPr>
                <w:lang w:val="en-US"/>
              </w:rPr>
            </w:pPr>
          </w:p>
          <w:p w:rsidR="003D11BA" w:rsidRPr="00BC1CDB" w:rsidRDefault="003D11BA" w:rsidP="00212E31">
            <w:pPr>
              <w:rPr>
                <w:lang w:val="en-US"/>
              </w:rPr>
            </w:pPr>
          </w:p>
        </w:tc>
        <w:tc>
          <w:tcPr>
            <w:tcW w:w="3402" w:type="dxa"/>
          </w:tcPr>
          <w:p w:rsidR="003D11BA" w:rsidRPr="00BC1CDB" w:rsidRDefault="003D11BA" w:rsidP="00212E31">
            <w:pPr>
              <w:jc w:val="center"/>
              <w:rPr>
                <w:lang w:val="en-US"/>
              </w:rPr>
            </w:pPr>
            <w:r>
              <w:rPr>
                <w:lang w:val="en-US"/>
              </w:rPr>
              <w:t>(5), (43), (58), (115), (117), (124)</w:t>
            </w:r>
          </w:p>
        </w:tc>
        <w:tc>
          <w:tcPr>
            <w:tcW w:w="1276" w:type="dxa"/>
          </w:tcPr>
          <w:p w:rsidR="003D11BA" w:rsidRDefault="003D11BA" w:rsidP="00212E31">
            <w:pPr>
              <w:jc w:val="center"/>
              <w:rPr>
                <w:lang w:val="en-US"/>
              </w:rPr>
            </w:pPr>
          </w:p>
        </w:tc>
      </w:tr>
      <w:tr w:rsidR="003D11BA" w:rsidRPr="009715DA" w:rsidTr="00212E31">
        <w:tc>
          <w:tcPr>
            <w:tcW w:w="704" w:type="dxa"/>
            <w:shd w:val="clear" w:color="auto" w:fill="AEAAAA" w:themeFill="background2" w:themeFillShade="BF"/>
          </w:tcPr>
          <w:p w:rsidR="003D11BA" w:rsidRDefault="003D11BA" w:rsidP="00212E31">
            <w:pPr>
              <w:rPr>
                <w:b/>
                <w:lang w:val="en-CA"/>
              </w:rPr>
            </w:pPr>
          </w:p>
        </w:tc>
        <w:tc>
          <w:tcPr>
            <w:tcW w:w="8930" w:type="dxa"/>
            <w:shd w:val="clear" w:color="auto" w:fill="AEAAAA" w:themeFill="background2" w:themeFillShade="BF"/>
          </w:tcPr>
          <w:p w:rsidR="003D11BA" w:rsidRPr="00BE06F4" w:rsidRDefault="003D11BA" w:rsidP="00212E31">
            <w:pPr>
              <w:rPr>
                <w:b/>
                <w:lang w:val="en-CA"/>
              </w:rPr>
            </w:pPr>
            <w:r>
              <w:rPr>
                <w:b/>
                <w:lang w:val="en-CA"/>
              </w:rPr>
              <w:t xml:space="preserve">SPA </w:t>
            </w:r>
            <w:r w:rsidRPr="00BE06F4">
              <w:rPr>
                <w:b/>
                <w:lang w:val="en-CA"/>
              </w:rPr>
              <w:t>for</w:t>
            </w:r>
            <w:r>
              <w:rPr>
                <w:b/>
                <w:lang w:val="en-CA"/>
              </w:rPr>
              <w:t xml:space="preserve"> ANA</w:t>
            </w:r>
            <w:r w:rsidRPr="00BE06F4">
              <w:rPr>
                <w:b/>
                <w:lang w:val="en-CA"/>
              </w:rPr>
              <w:t xml:space="preserve"> screening</w:t>
            </w:r>
            <w:r w:rsidRPr="00BE06F4">
              <w:rPr>
                <w:color w:val="FF0000"/>
                <w:lang w:val="en-CA"/>
              </w:rPr>
              <w:t xml:space="preserve"> </w:t>
            </w:r>
          </w:p>
        </w:tc>
        <w:tc>
          <w:tcPr>
            <w:tcW w:w="851" w:type="dxa"/>
            <w:shd w:val="clear" w:color="auto" w:fill="AEAAAA" w:themeFill="background2" w:themeFillShade="BF"/>
          </w:tcPr>
          <w:p w:rsidR="003D11BA" w:rsidRDefault="003D11BA" w:rsidP="00212E31">
            <w:pPr>
              <w:jc w:val="center"/>
              <w:rPr>
                <w:b/>
                <w:lang w:val="en-CA"/>
              </w:rPr>
            </w:pPr>
          </w:p>
        </w:tc>
        <w:tc>
          <w:tcPr>
            <w:tcW w:w="3402" w:type="dxa"/>
            <w:shd w:val="clear" w:color="auto" w:fill="AEAAAA" w:themeFill="background2" w:themeFillShade="BF"/>
          </w:tcPr>
          <w:p w:rsidR="003D11BA" w:rsidRDefault="003D11BA" w:rsidP="00212E31">
            <w:pPr>
              <w:jc w:val="center"/>
              <w:rPr>
                <w:b/>
                <w:lang w:val="en-CA"/>
              </w:rPr>
            </w:pPr>
          </w:p>
        </w:tc>
        <w:tc>
          <w:tcPr>
            <w:tcW w:w="1276" w:type="dxa"/>
            <w:shd w:val="clear" w:color="auto" w:fill="AEAAAA" w:themeFill="background2" w:themeFillShade="BF"/>
          </w:tcPr>
          <w:p w:rsidR="003D11BA" w:rsidRDefault="003D11BA" w:rsidP="00212E31">
            <w:pPr>
              <w:jc w:val="center"/>
              <w:rPr>
                <w:b/>
                <w:lang w:val="en-CA"/>
              </w:rPr>
            </w:pPr>
          </w:p>
        </w:tc>
      </w:tr>
      <w:tr w:rsidR="003D11BA" w:rsidRPr="00EA45DE" w:rsidTr="00212E31">
        <w:tc>
          <w:tcPr>
            <w:tcW w:w="704" w:type="dxa"/>
          </w:tcPr>
          <w:p w:rsidR="003D11BA" w:rsidRPr="00EA45DE" w:rsidRDefault="003D11BA" w:rsidP="00212E31">
            <w:pPr>
              <w:pStyle w:val="ListParagraph"/>
              <w:ind w:left="25" w:right="-679"/>
              <w:rPr>
                <w:lang w:val="en-CA"/>
              </w:rPr>
            </w:pPr>
            <w:r w:rsidRPr="00EA45DE">
              <w:rPr>
                <w:lang w:val="en-CA"/>
              </w:rPr>
              <w:t>29</w:t>
            </w:r>
          </w:p>
          <w:p w:rsidR="003D11BA" w:rsidRPr="00EA45DE" w:rsidRDefault="003D11BA" w:rsidP="00212E31">
            <w:pPr>
              <w:pStyle w:val="ListParagraph"/>
              <w:ind w:left="25" w:right="-679"/>
              <w:rPr>
                <w:lang w:val="en-CA"/>
              </w:rPr>
            </w:pPr>
            <w:r w:rsidRPr="00EA45DE">
              <w:rPr>
                <w:lang w:val="en-CA"/>
              </w:rPr>
              <w:t>30</w:t>
            </w:r>
          </w:p>
          <w:p w:rsidR="003D11BA" w:rsidRPr="00EA45DE" w:rsidRDefault="003D11BA" w:rsidP="00212E31">
            <w:pPr>
              <w:pStyle w:val="ListParagraph"/>
              <w:ind w:left="25" w:right="-679"/>
              <w:rPr>
                <w:lang w:val="en-CA"/>
              </w:rPr>
            </w:pPr>
            <w:r w:rsidRPr="00EA45DE">
              <w:rPr>
                <w:lang w:val="en-CA"/>
              </w:rPr>
              <w:t>31</w:t>
            </w:r>
          </w:p>
          <w:p w:rsidR="003D11BA" w:rsidRPr="00EA45DE" w:rsidRDefault="003D11BA" w:rsidP="00212E31">
            <w:pPr>
              <w:pStyle w:val="ListParagraph"/>
              <w:ind w:left="25" w:right="-679"/>
              <w:rPr>
                <w:lang w:val="en-CA"/>
              </w:rPr>
            </w:pPr>
          </w:p>
          <w:p w:rsidR="003D11BA" w:rsidRPr="00EA45DE" w:rsidRDefault="003D11BA" w:rsidP="00212E31">
            <w:pPr>
              <w:pStyle w:val="ListParagraph"/>
              <w:ind w:left="25" w:right="-679"/>
              <w:rPr>
                <w:lang w:val="en-CA"/>
              </w:rPr>
            </w:pPr>
            <w:r w:rsidRPr="00EA45DE">
              <w:rPr>
                <w:lang w:val="en-CA"/>
              </w:rPr>
              <w:t>32</w:t>
            </w:r>
          </w:p>
        </w:tc>
        <w:tc>
          <w:tcPr>
            <w:tcW w:w="8930" w:type="dxa"/>
            <w:shd w:val="clear" w:color="auto" w:fill="auto"/>
          </w:tcPr>
          <w:p w:rsidR="003D11BA" w:rsidRPr="00EA45DE" w:rsidRDefault="003D11BA" w:rsidP="00212E31">
            <w:pPr>
              <w:rPr>
                <w:lang w:val="en-CA"/>
              </w:rPr>
            </w:pPr>
            <w:r w:rsidRPr="00EA45DE">
              <w:rPr>
                <w:lang w:val="en-CA"/>
              </w:rPr>
              <w:t>The performance of SPA assays for ANA screening / detection is disease- and assay-dependent</w:t>
            </w:r>
          </w:p>
          <w:p w:rsidR="003D11BA" w:rsidRPr="00EA45DE" w:rsidRDefault="003D11BA" w:rsidP="00212E31">
            <w:pPr>
              <w:rPr>
                <w:lang w:val="en-CA"/>
              </w:rPr>
            </w:pPr>
            <w:r w:rsidRPr="00EA45DE">
              <w:rPr>
                <w:lang w:val="en-CA"/>
              </w:rPr>
              <w:t>There is no single SPA threshold that has good sensitivity and good specificity</w:t>
            </w:r>
          </w:p>
          <w:p w:rsidR="003D11BA" w:rsidRPr="00EA45DE" w:rsidRDefault="003D11BA" w:rsidP="00212E31">
            <w:pPr>
              <w:rPr>
                <w:lang w:val="en-CA"/>
              </w:rPr>
            </w:pPr>
            <w:r w:rsidRPr="00EA45DE">
              <w:rPr>
                <w:lang w:val="en-CA"/>
              </w:rPr>
              <w:t xml:space="preserve">Reporting test result (interval)-specific likelihood ratios for ANA-associated rheumatic disease improves clinical interpretation of SPA test results </w:t>
            </w:r>
          </w:p>
          <w:p w:rsidR="003D11BA" w:rsidRPr="00EA45DE" w:rsidRDefault="003D11BA" w:rsidP="00212E31">
            <w:pPr>
              <w:rPr>
                <w:lang w:val="en-CA"/>
              </w:rPr>
            </w:pPr>
            <w:r w:rsidRPr="00EA45DE">
              <w:rPr>
                <w:lang w:val="en-CA"/>
              </w:rPr>
              <w:t>Combining HEp-2 IIF with SPA grants the highest clinical value</w:t>
            </w:r>
          </w:p>
        </w:tc>
        <w:tc>
          <w:tcPr>
            <w:tcW w:w="851" w:type="dxa"/>
          </w:tcPr>
          <w:p w:rsidR="003D11BA" w:rsidRPr="00EA45DE" w:rsidRDefault="003D11BA" w:rsidP="00212E31">
            <w:pPr>
              <w:ind w:left="39"/>
              <w:jc w:val="center"/>
              <w:rPr>
                <w:lang w:val="en-CA"/>
              </w:rPr>
            </w:pPr>
            <w:r w:rsidRPr="00EA45DE">
              <w:rPr>
                <w:lang w:val="en-CA"/>
              </w:rPr>
              <w:t>A</w:t>
            </w:r>
          </w:p>
          <w:p w:rsidR="003D11BA" w:rsidRPr="00EA45DE" w:rsidRDefault="003D11BA" w:rsidP="00212E31">
            <w:pPr>
              <w:ind w:left="39"/>
              <w:jc w:val="center"/>
              <w:rPr>
                <w:lang w:val="en-CA"/>
              </w:rPr>
            </w:pPr>
            <w:r w:rsidRPr="00EA45DE">
              <w:rPr>
                <w:lang w:val="en-CA"/>
              </w:rPr>
              <w:t>A</w:t>
            </w:r>
          </w:p>
          <w:p w:rsidR="003D11BA" w:rsidRPr="00EA45DE" w:rsidRDefault="003D11BA" w:rsidP="00212E31">
            <w:pPr>
              <w:ind w:left="39"/>
              <w:jc w:val="center"/>
              <w:rPr>
                <w:lang w:val="en-CA"/>
              </w:rPr>
            </w:pPr>
            <w:r w:rsidRPr="00EA45DE">
              <w:rPr>
                <w:lang w:val="en-CA"/>
              </w:rPr>
              <w:t>A/B</w:t>
            </w:r>
          </w:p>
          <w:p w:rsidR="003D11BA" w:rsidRPr="00EA45DE" w:rsidRDefault="003D11BA" w:rsidP="00212E31">
            <w:pPr>
              <w:ind w:left="39"/>
              <w:jc w:val="center"/>
              <w:rPr>
                <w:lang w:val="en-CA"/>
              </w:rPr>
            </w:pPr>
          </w:p>
          <w:p w:rsidR="003D11BA" w:rsidRPr="00EA45DE" w:rsidRDefault="003D11BA" w:rsidP="00212E31">
            <w:pPr>
              <w:ind w:left="39"/>
              <w:jc w:val="center"/>
              <w:rPr>
                <w:lang w:val="en-CA"/>
              </w:rPr>
            </w:pPr>
            <w:r w:rsidRPr="00EA45DE">
              <w:rPr>
                <w:lang w:val="en-CA"/>
              </w:rPr>
              <w:t>A</w:t>
            </w:r>
          </w:p>
        </w:tc>
        <w:tc>
          <w:tcPr>
            <w:tcW w:w="3402" w:type="dxa"/>
          </w:tcPr>
          <w:p w:rsidR="003D11BA" w:rsidRPr="00EA45DE" w:rsidRDefault="003D11BA" w:rsidP="00212E31">
            <w:pPr>
              <w:ind w:left="36"/>
              <w:jc w:val="center"/>
              <w:rPr>
                <w:lang w:val="en-CA"/>
              </w:rPr>
            </w:pPr>
            <w:r w:rsidRPr="00EA45DE">
              <w:rPr>
                <w:lang w:val="en-CA"/>
              </w:rPr>
              <w:t>Reviewed in (1) and (39)</w:t>
            </w:r>
          </w:p>
          <w:p w:rsidR="003D11BA" w:rsidRPr="00EA45DE" w:rsidRDefault="003D11BA" w:rsidP="00212E31">
            <w:pPr>
              <w:ind w:left="36"/>
              <w:jc w:val="center"/>
              <w:rPr>
                <w:lang w:val="en-CA"/>
              </w:rPr>
            </w:pPr>
            <w:r w:rsidRPr="00EA45DE">
              <w:rPr>
                <w:lang w:val="en-CA"/>
              </w:rPr>
              <w:t xml:space="preserve">Reviewed in (1) </w:t>
            </w:r>
          </w:p>
          <w:p w:rsidR="003D11BA" w:rsidRPr="00EA45DE" w:rsidRDefault="003D11BA" w:rsidP="00212E31">
            <w:pPr>
              <w:ind w:left="36"/>
              <w:jc w:val="center"/>
              <w:rPr>
                <w:lang w:val="en-CA"/>
              </w:rPr>
            </w:pPr>
            <w:r w:rsidRPr="00EA45DE">
              <w:rPr>
                <w:lang w:val="en-CA"/>
              </w:rPr>
              <w:t>(13-16), (40)</w:t>
            </w:r>
          </w:p>
          <w:p w:rsidR="003D11BA" w:rsidRPr="00EA45DE" w:rsidRDefault="003D11BA" w:rsidP="00212E31">
            <w:pPr>
              <w:ind w:left="36"/>
              <w:jc w:val="center"/>
              <w:rPr>
                <w:lang w:val="en-CA"/>
              </w:rPr>
            </w:pPr>
          </w:p>
          <w:p w:rsidR="003D11BA" w:rsidRPr="00EA45DE" w:rsidRDefault="003D11BA" w:rsidP="00212E31">
            <w:pPr>
              <w:ind w:left="36"/>
              <w:jc w:val="center"/>
              <w:rPr>
                <w:lang w:val="en-CA"/>
              </w:rPr>
            </w:pPr>
            <w:r w:rsidRPr="00EA45DE">
              <w:rPr>
                <w:lang w:val="en-CA"/>
              </w:rPr>
              <w:t>Reviewed in (1), (11</w:t>
            </w:r>
            <w:r>
              <w:rPr>
                <w:lang w:val="en-CA"/>
              </w:rPr>
              <w:t>-</w:t>
            </w:r>
            <w:r w:rsidRPr="00EA45DE">
              <w:rPr>
                <w:lang w:val="en-CA"/>
              </w:rPr>
              <w:t>12)</w:t>
            </w:r>
            <w:r>
              <w:rPr>
                <w:lang w:val="en-CA"/>
              </w:rPr>
              <w:t>, (17)</w:t>
            </w:r>
          </w:p>
        </w:tc>
        <w:tc>
          <w:tcPr>
            <w:tcW w:w="1276" w:type="dxa"/>
          </w:tcPr>
          <w:p w:rsidR="003D11BA" w:rsidRPr="00EA45DE" w:rsidRDefault="003D11BA" w:rsidP="00212E31">
            <w:pPr>
              <w:ind w:left="36"/>
              <w:jc w:val="center"/>
              <w:rPr>
                <w:lang w:val="en-CA"/>
              </w:rPr>
            </w:pPr>
          </w:p>
        </w:tc>
      </w:tr>
    </w:tbl>
    <w:p w:rsidR="003D11BA" w:rsidRPr="00331A3F" w:rsidRDefault="003D11BA" w:rsidP="00212E31">
      <w:pPr>
        <w:spacing w:after="120" w:line="240" w:lineRule="auto"/>
        <w:ind w:left="142"/>
        <w:rPr>
          <w:color w:val="000000" w:themeColor="text1"/>
          <w:sz w:val="18"/>
          <w:szCs w:val="18"/>
          <w:lang w:val="en-CA"/>
        </w:rPr>
      </w:pPr>
      <w:r w:rsidRPr="00331A3F">
        <w:rPr>
          <w:color w:val="000000" w:themeColor="text1"/>
          <w:sz w:val="18"/>
          <w:szCs w:val="18"/>
          <w:lang w:val="en-CA"/>
        </w:rPr>
        <w:t xml:space="preserve">Grading: A [experimental data/literature source is available] , B [expert opinion].  </w:t>
      </w:r>
    </w:p>
    <w:p w:rsidR="003D11BA" w:rsidRPr="00331A3F" w:rsidRDefault="003D11BA" w:rsidP="00212E31">
      <w:pPr>
        <w:spacing w:after="120" w:line="240" w:lineRule="auto"/>
        <w:ind w:left="142"/>
        <w:rPr>
          <w:color w:val="000000" w:themeColor="text1"/>
          <w:sz w:val="18"/>
          <w:szCs w:val="18"/>
          <w:lang w:val="en-CA"/>
        </w:rPr>
      </w:pPr>
      <w:r w:rsidRPr="00331A3F">
        <w:rPr>
          <w:color w:val="000000" w:themeColor="text1"/>
          <w:sz w:val="18"/>
          <w:szCs w:val="18"/>
          <w:lang w:val="en-CA"/>
        </w:rPr>
        <w:t xml:space="preserve">Delphi scoring on a scale 1-10 [0 - absolutely no agreement with the recommendation; 10 - maximal support for the recommendation] </w:t>
      </w:r>
    </w:p>
    <w:p w:rsidR="003D11BA" w:rsidRDefault="003D11BA" w:rsidP="00212E31">
      <w:pPr>
        <w:spacing w:line="240" w:lineRule="auto"/>
        <w:jc w:val="both"/>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rsidP="00212E31">
      <w:pPr>
        <w:rPr>
          <w:lang w:val="en-CA"/>
        </w:rPr>
      </w:pPr>
    </w:p>
    <w:p w:rsidR="003D11BA" w:rsidRDefault="003D11BA">
      <w:pPr>
        <w:rPr>
          <w:lang w:val="en-CA"/>
        </w:rPr>
      </w:pPr>
      <w:r>
        <w:rPr>
          <w:lang w:val="en-CA"/>
        </w:rPr>
        <w:br w:type="page"/>
      </w:r>
    </w:p>
    <w:p w:rsidR="003D11BA" w:rsidRDefault="003D11BA" w:rsidP="00212E31">
      <w:pPr>
        <w:rPr>
          <w:lang w:val="en-CA"/>
        </w:rPr>
      </w:pPr>
    </w:p>
    <w:p w:rsidR="003D11BA" w:rsidRDefault="003D11BA" w:rsidP="00212E31">
      <w:pPr>
        <w:rPr>
          <w:b/>
          <w:lang w:val="en-CA"/>
        </w:rPr>
      </w:pPr>
      <w:r w:rsidRPr="00F029D4">
        <w:rPr>
          <w:b/>
          <w:lang w:val="en-CA"/>
        </w:rPr>
        <w:t>Table 4. Overview of recommendations/statements on validation/verification approaches</w:t>
      </w:r>
    </w:p>
    <w:p w:rsidR="003D11BA" w:rsidRPr="00F029D4" w:rsidRDefault="003D11BA" w:rsidP="00212E31">
      <w:pPr>
        <w:rPr>
          <w:b/>
          <w:lang w:val="en-CA"/>
        </w:rPr>
      </w:pPr>
    </w:p>
    <w:tbl>
      <w:tblPr>
        <w:tblStyle w:val="TableGrid"/>
        <w:tblW w:w="15163" w:type="dxa"/>
        <w:tblLayout w:type="fixed"/>
        <w:tblLook w:val="04A0" w:firstRow="1" w:lastRow="0" w:firstColumn="1" w:lastColumn="0" w:noHBand="0" w:noVBand="1"/>
      </w:tblPr>
      <w:tblGrid>
        <w:gridCol w:w="704"/>
        <w:gridCol w:w="8789"/>
        <w:gridCol w:w="992"/>
        <w:gridCol w:w="3402"/>
        <w:gridCol w:w="1276"/>
      </w:tblGrid>
      <w:tr w:rsidR="003D11BA" w:rsidRPr="00132C03" w:rsidTr="00212E31">
        <w:tc>
          <w:tcPr>
            <w:tcW w:w="704" w:type="dxa"/>
            <w:shd w:val="clear" w:color="auto" w:fill="AEAAAA" w:themeFill="background2" w:themeFillShade="BF"/>
          </w:tcPr>
          <w:p w:rsidR="003D11BA" w:rsidRPr="00E66A0B" w:rsidRDefault="003D11BA" w:rsidP="00212E31">
            <w:pPr>
              <w:rPr>
                <w:b/>
                <w:lang w:val="en-CA"/>
              </w:rPr>
            </w:pPr>
          </w:p>
        </w:tc>
        <w:tc>
          <w:tcPr>
            <w:tcW w:w="8789" w:type="dxa"/>
            <w:shd w:val="clear" w:color="auto" w:fill="AEAAAA" w:themeFill="background2" w:themeFillShade="BF"/>
          </w:tcPr>
          <w:p w:rsidR="003D11BA" w:rsidRPr="00E66A0B" w:rsidRDefault="003D11BA" w:rsidP="00212E31">
            <w:pPr>
              <w:rPr>
                <w:b/>
                <w:lang w:val="en-CA"/>
              </w:rPr>
            </w:pPr>
            <w:r w:rsidRPr="00E66A0B">
              <w:rPr>
                <w:b/>
                <w:lang w:val="en-CA"/>
              </w:rPr>
              <w:t>I</w:t>
            </w:r>
            <w:r>
              <w:rPr>
                <w:b/>
                <w:lang w:val="en-CA"/>
              </w:rPr>
              <w:t>I</w:t>
            </w:r>
            <w:r w:rsidRPr="00E66A0B">
              <w:rPr>
                <w:b/>
                <w:lang w:val="en-CA"/>
              </w:rPr>
              <w:t>F validation</w:t>
            </w:r>
            <w:r>
              <w:rPr>
                <w:b/>
                <w:lang w:val="en-CA"/>
              </w:rPr>
              <w:t xml:space="preserve"> / verification</w:t>
            </w:r>
            <w:r w:rsidRPr="00E66A0B">
              <w:rPr>
                <w:b/>
                <w:lang w:val="en-CA"/>
              </w:rPr>
              <w:t xml:space="preserve"> </w:t>
            </w:r>
            <w:r>
              <w:rPr>
                <w:b/>
                <w:lang w:val="en-CA"/>
              </w:rPr>
              <w:t xml:space="preserve">approaches </w:t>
            </w:r>
          </w:p>
        </w:tc>
        <w:tc>
          <w:tcPr>
            <w:tcW w:w="992" w:type="dxa"/>
            <w:shd w:val="clear" w:color="auto" w:fill="AEAAAA" w:themeFill="background2" w:themeFillShade="BF"/>
          </w:tcPr>
          <w:p w:rsidR="003D11BA" w:rsidRPr="00E66A0B" w:rsidRDefault="003D11BA" w:rsidP="00212E31">
            <w:pPr>
              <w:jc w:val="center"/>
              <w:rPr>
                <w:b/>
                <w:lang w:val="en-CA"/>
              </w:rPr>
            </w:pPr>
            <w:r>
              <w:rPr>
                <w:b/>
                <w:lang w:val="en-CA"/>
              </w:rPr>
              <w:t>Grade</w:t>
            </w:r>
          </w:p>
        </w:tc>
        <w:tc>
          <w:tcPr>
            <w:tcW w:w="3402" w:type="dxa"/>
            <w:shd w:val="clear" w:color="auto" w:fill="AEAAAA" w:themeFill="background2" w:themeFillShade="BF"/>
          </w:tcPr>
          <w:p w:rsidR="003D11BA" w:rsidRPr="00E66A0B" w:rsidRDefault="003D11BA" w:rsidP="00212E31">
            <w:pPr>
              <w:jc w:val="center"/>
              <w:rPr>
                <w:b/>
                <w:lang w:val="en-CA"/>
              </w:rPr>
            </w:pPr>
            <w:r>
              <w:rPr>
                <w:b/>
                <w:lang w:val="en-CA"/>
              </w:rPr>
              <w:t>References</w:t>
            </w:r>
          </w:p>
        </w:tc>
        <w:tc>
          <w:tcPr>
            <w:tcW w:w="1276" w:type="dxa"/>
            <w:shd w:val="clear" w:color="auto" w:fill="AEAAAA" w:themeFill="background2" w:themeFillShade="BF"/>
          </w:tcPr>
          <w:p w:rsidR="003D11BA" w:rsidRDefault="003D11BA" w:rsidP="00212E31">
            <w:pPr>
              <w:jc w:val="center"/>
              <w:rPr>
                <w:b/>
                <w:lang w:val="en-CA"/>
              </w:rPr>
            </w:pPr>
            <w:r>
              <w:rPr>
                <w:b/>
                <w:lang w:val="en-CA"/>
              </w:rPr>
              <w:t>Delphi scores</w:t>
            </w:r>
          </w:p>
        </w:tc>
      </w:tr>
      <w:tr w:rsidR="003D11BA" w:rsidRPr="00132C03" w:rsidTr="00212E31">
        <w:trPr>
          <w:trHeight w:val="77"/>
        </w:trPr>
        <w:tc>
          <w:tcPr>
            <w:tcW w:w="704" w:type="dxa"/>
            <w:shd w:val="clear" w:color="auto" w:fill="D0CECE" w:themeFill="background2" w:themeFillShade="E6"/>
          </w:tcPr>
          <w:p w:rsidR="003D11BA" w:rsidRPr="009C2917" w:rsidRDefault="003D11BA" w:rsidP="00212E31">
            <w:pPr>
              <w:rPr>
                <w:i/>
                <w:lang w:val="en-CA"/>
              </w:rPr>
            </w:pPr>
          </w:p>
        </w:tc>
        <w:tc>
          <w:tcPr>
            <w:tcW w:w="8789" w:type="dxa"/>
            <w:shd w:val="clear" w:color="auto" w:fill="D0CECE" w:themeFill="background2" w:themeFillShade="E6"/>
          </w:tcPr>
          <w:p w:rsidR="003D11BA" w:rsidRPr="009C2917" w:rsidRDefault="003D11BA" w:rsidP="00212E31">
            <w:pPr>
              <w:rPr>
                <w:i/>
                <w:lang w:val="en-CA"/>
              </w:rPr>
            </w:pPr>
            <w:r w:rsidRPr="009C2917">
              <w:rPr>
                <w:i/>
                <w:lang w:val="en-CA"/>
              </w:rPr>
              <w:t>Analytical validation</w:t>
            </w:r>
            <w:r>
              <w:rPr>
                <w:i/>
                <w:lang w:val="en-CA"/>
              </w:rPr>
              <w:t xml:space="preserve"> / verification</w:t>
            </w:r>
          </w:p>
        </w:tc>
        <w:tc>
          <w:tcPr>
            <w:tcW w:w="992" w:type="dxa"/>
            <w:shd w:val="clear" w:color="auto" w:fill="D0CECE" w:themeFill="background2" w:themeFillShade="E6"/>
          </w:tcPr>
          <w:p w:rsidR="003D11BA" w:rsidRPr="009C2917" w:rsidRDefault="003D11BA" w:rsidP="00212E31">
            <w:pPr>
              <w:rPr>
                <w:i/>
                <w:lang w:val="en-CA"/>
              </w:rPr>
            </w:pPr>
          </w:p>
        </w:tc>
        <w:tc>
          <w:tcPr>
            <w:tcW w:w="3402" w:type="dxa"/>
            <w:shd w:val="clear" w:color="auto" w:fill="D0CECE" w:themeFill="background2" w:themeFillShade="E6"/>
          </w:tcPr>
          <w:p w:rsidR="003D11BA" w:rsidRPr="009C2917" w:rsidRDefault="003D11BA" w:rsidP="00212E31">
            <w:pPr>
              <w:rPr>
                <w:i/>
                <w:lang w:val="en-CA"/>
              </w:rPr>
            </w:pPr>
          </w:p>
        </w:tc>
        <w:tc>
          <w:tcPr>
            <w:tcW w:w="1276" w:type="dxa"/>
            <w:shd w:val="clear" w:color="auto" w:fill="D0CECE" w:themeFill="background2" w:themeFillShade="E6"/>
          </w:tcPr>
          <w:p w:rsidR="003D11BA" w:rsidRPr="009C2917" w:rsidRDefault="003D11BA" w:rsidP="00212E31">
            <w:pPr>
              <w:rPr>
                <w:i/>
                <w:lang w:val="en-CA"/>
              </w:rPr>
            </w:pPr>
          </w:p>
        </w:tc>
      </w:tr>
      <w:tr w:rsidR="003D11BA" w:rsidRPr="00EC0609" w:rsidTr="00212E31">
        <w:tc>
          <w:tcPr>
            <w:tcW w:w="704" w:type="dxa"/>
            <w:shd w:val="clear" w:color="auto" w:fill="FFFFFF" w:themeFill="background1"/>
          </w:tcPr>
          <w:p w:rsidR="003D11BA" w:rsidRDefault="003D11BA" w:rsidP="00212E31">
            <w:pPr>
              <w:rPr>
                <w:lang w:val="en-US"/>
              </w:rPr>
            </w:pPr>
            <w:r>
              <w:rPr>
                <w:lang w:val="en-US"/>
              </w:rPr>
              <w:t>1</w:t>
            </w:r>
          </w:p>
          <w:p w:rsidR="003D11BA" w:rsidRDefault="003D11BA" w:rsidP="00212E31">
            <w:pPr>
              <w:rPr>
                <w:lang w:val="en-US"/>
              </w:rPr>
            </w:pPr>
          </w:p>
          <w:p w:rsidR="003D11BA" w:rsidRDefault="003D11BA" w:rsidP="00212E31">
            <w:pPr>
              <w:rPr>
                <w:lang w:val="en-US"/>
              </w:rPr>
            </w:pPr>
          </w:p>
          <w:p w:rsidR="003D11BA" w:rsidRDefault="003D11BA" w:rsidP="00212E31">
            <w:pPr>
              <w:rPr>
                <w:lang w:val="en-US"/>
              </w:rPr>
            </w:pPr>
            <w:r>
              <w:rPr>
                <w:lang w:val="en-US"/>
              </w:rPr>
              <w:t>2</w:t>
            </w:r>
          </w:p>
          <w:p w:rsidR="003D11BA" w:rsidRDefault="003D11BA" w:rsidP="00212E31">
            <w:pPr>
              <w:rPr>
                <w:lang w:val="en-US"/>
              </w:rPr>
            </w:pPr>
          </w:p>
          <w:p w:rsidR="003D11BA" w:rsidRDefault="003D11BA" w:rsidP="00212E31">
            <w:pPr>
              <w:rPr>
                <w:lang w:val="en-US"/>
              </w:rPr>
            </w:pPr>
          </w:p>
          <w:p w:rsidR="003D11BA" w:rsidRPr="003E70AA" w:rsidRDefault="003D11BA" w:rsidP="00212E31">
            <w:pPr>
              <w:rPr>
                <w:lang w:val="en-US"/>
              </w:rPr>
            </w:pPr>
            <w:r>
              <w:rPr>
                <w:lang w:val="en-US"/>
              </w:rPr>
              <w:t>3</w:t>
            </w:r>
          </w:p>
        </w:tc>
        <w:tc>
          <w:tcPr>
            <w:tcW w:w="8789" w:type="dxa"/>
            <w:shd w:val="clear" w:color="auto" w:fill="FFFFFF" w:themeFill="background1"/>
          </w:tcPr>
          <w:p w:rsidR="003D11BA" w:rsidRPr="008A0664" w:rsidRDefault="003D11BA" w:rsidP="00212E31">
            <w:pPr>
              <w:rPr>
                <w:lang w:val="en-US"/>
              </w:rPr>
            </w:pPr>
            <w:r w:rsidRPr="008A0664">
              <w:rPr>
                <w:lang w:val="en-US"/>
              </w:rPr>
              <w:t xml:space="preserve">Each laboratory should demonstrate in a method comparison that its HEp-2 IIF method detects the major clinically relevant patterns as well as the major clinically relevant antigen reactivities, both in the nuclear and the cytoplasmic compartment.  </w:t>
            </w:r>
          </w:p>
          <w:p w:rsidR="003D11BA" w:rsidRPr="008A0664" w:rsidRDefault="003D11BA" w:rsidP="00212E31">
            <w:pPr>
              <w:rPr>
                <w:lang w:val="en-US"/>
              </w:rPr>
            </w:pPr>
            <w:r w:rsidRPr="008A0664">
              <w:rPr>
                <w:lang w:val="en-US"/>
              </w:rPr>
              <w:t xml:space="preserve">Each laboratory should verify the precision of the method used.  The approach will depend on how the data are handled: binomial (positive/negative), ordinal (titers) or continuous (fluorescence intensity results). </w:t>
            </w:r>
          </w:p>
          <w:p w:rsidR="003D11BA" w:rsidRPr="008A0664" w:rsidRDefault="003D11BA" w:rsidP="00212E31">
            <w:pPr>
              <w:rPr>
                <w:lang w:val="en-US"/>
              </w:rPr>
            </w:pPr>
            <w:r w:rsidRPr="008A0664">
              <w:rPr>
                <w:lang w:val="en-US"/>
              </w:rPr>
              <w:t xml:space="preserve">Application of single well titer by CAD should be verified/validated by pattern-specific comparison to end point titer.   </w:t>
            </w:r>
          </w:p>
        </w:tc>
        <w:tc>
          <w:tcPr>
            <w:tcW w:w="992" w:type="dxa"/>
            <w:shd w:val="clear" w:color="auto" w:fill="FFFFFF" w:themeFill="background1"/>
          </w:tcPr>
          <w:p w:rsidR="003D11BA" w:rsidRDefault="003D11BA" w:rsidP="00212E31">
            <w:pPr>
              <w:jc w:val="center"/>
              <w:rPr>
                <w:lang w:val="en-US"/>
              </w:rPr>
            </w:pPr>
            <w:r>
              <w:rPr>
                <w:lang w:val="en-US"/>
              </w:rPr>
              <w:t>A/B</w:t>
            </w:r>
          </w:p>
          <w:p w:rsidR="003D11BA" w:rsidRDefault="003D11BA" w:rsidP="00212E31">
            <w:pPr>
              <w:rPr>
                <w:lang w:val="en-US"/>
              </w:rPr>
            </w:pPr>
          </w:p>
          <w:p w:rsidR="003D11BA" w:rsidRDefault="003D11BA" w:rsidP="00212E31">
            <w:pPr>
              <w:rPr>
                <w:lang w:val="en-US"/>
              </w:rPr>
            </w:pPr>
          </w:p>
          <w:p w:rsidR="003D11BA" w:rsidRDefault="003D11BA" w:rsidP="00212E31">
            <w:pPr>
              <w:jc w:val="center"/>
              <w:rPr>
                <w:lang w:val="en-US"/>
              </w:rPr>
            </w:pPr>
            <w:r>
              <w:rPr>
                <w:lang w:val="en-US"/>
              </w:rPr>
              <w:t>A/B</w:t>
            </w:r>
          </w:p>
          <w:p w:rsidR="003D11BA" w:rsidRDefault="003D11BA" w:rsidP="00212E31">
            <w:pPr>
              <w:jc w:val="center"/>
              <w:rPr>
                <w:lang w:val="en-US"/>
              </w:rPr>
            </w:pPr>
          </w:p>
          <w:p w:rsidR="003D11BA" w:rsidRDefault="003D11BA" w:rsidP="00212E31">
            <w:pPr>
              <w:jc w:val="center"/>
              <w:rPr>
                <w:lang w:val="en-US"/>
              </w:rPr>
            </w:pPr>
          </w:p>
          <w:p w:rsidR="003D11BA" w:rsidRPr="00BC1CDB" w:rsidRDefault="003D11BA" w:rsidP="00212E31">
            <w:pPr>
              <w:jc w:val="center"/>
              <w:rPr>
                <w:lang w:val="en-US"/>
              </w:rPr>
            </w:pPr>
            <w:r>
              <w:rPr>
                <w:lang w:val="en-US"/>
              </w:rPr>
              <w:t>B</w:t>
            </w:r>
          </w:p>
        </w:tc>
        <w:tc>
          <w:tcPr>
            <w:tcW w:w="3402" w:type="dxa"/>
            <w:shd w:val="clear" w:color="auto" w:fill="FFFFFF" w:themeFill="background1"/>
          </w:tcPr>
          <w:p w:rsidR="003D11BA" w:rsidRDefault="003D11BA" w:rsidP="00212E31">
            <w:pPr>
              <w:jc w:val="center"/>
              <w:rPr>
                <w:lang w:val="en-US"/>
              </w:rPr>
            </w:pPr>
            <w:r>
              <w:rPr>
                <w:lang w:val="en-US"/>
              </w:rPr>
              <w:t>(5), (43), (58), (64), (118)</w:t>
            </w:r>
          </w:p>
          <w:p w:rsidR="003D11BA" w:rsidRDefault="003D11BA" w:rsidP="00212E31">
            <w:pPr>
              <w:jc w:val="center"/>
              <w:rPr>
                <w:lang w:val="en-US"/>
              </w:rPr>
            </w:pPr>
          </w:p>
          <w:p w:rsidR="003D11BA" w:rsidRDefault="003D11BA" w:rsidP="00212E31">
            <w:pPr>
              <w:jc w:val="center"/>
              <w:rPr>
                <w:lang w:val="en-US"/>
              </w:rPr>
            </w:pPr>
          </w:p>
          <w:p w:rsidR="003D11BA" w:rsidRDefault="003D11BA" w:rsidP="00212E31">
            <w:pPr>
              <w:jc w:val="center"/>
              <w:rPr>
                <w:lang w:val="en-US"/>
              </w:rPr>
            </w:pPr>
            <w:r>
              <w:rPr>
                <w:lang w:val="en-US"/>
              </w:rPr>
              <w:t>(116)),(120), (134),(141-142), (147)</w:t>
            </w:r>
          </w:p>
          <w:p w:rsidR="003D11BA" w:rsidRDefault="003D11BA" w:rsidP="00212E31">
            <w:pPr>
              <w:jc w:val="center"/>
              <w:rPr>
                <w:lang w:val="en-US"/>
              </w:rPr>
            </w:pPr>
          </w:p>
          <w:p w:rsidR="003D11BA" w:rsidRPr="00BC1CDB" w:rsidRDefault="003D11BA" w:rsidP="00212E31">
            <w:pPr>
              <w:jc w:val="center"/>
              <w:rPr>
                <w:lang w:val="en-US"/>
              </w:rPr>
            </w:pPr>
          </w:p>
        </w:tc>
        <w:tc>
          <w:tcPr>
            <w:tcW w:w="1276" w:type="dxa"/>
            <w:shd w:val="clear" w:color="auto" w:fill="FFFFFF" w:themeFill="background1"/>
          </w:tcPr>
          <w:p w:rsidR="003D11BA" w:rsidRDefault="003D11BA" w:rsidP="00212E31">
            <w:pPr>
              <w:jc w:val="center"/>
              <w:rPr>
                <w:lang w:val="en-US"/>
              </w:rPr>
            </w:pPr>
          </w:p>
        </w:tc>
      </w:tr>
      <w:tr w:rsidR="003D11BA" w:rsidRPr="009C2917" w:rsidTr="00212E31">
        <w:tc>
          <w:tcPr>
            <w:tcW w:w="704" w:type="dxa"/>
            <w:shd w:val="clear" w:color="auto" w:fill="D0CECE" w:themeFill="background2" w:themeFillShade="E6"/>
          </w:tcPr>
          <w:p w:rsidR="003D11BA" w:rsidRPr="009C2917" w:rsidRDefault="003D11BA" w:rsidP="00212E31">
            <w:pPr>
              <w:rPr>
                <w:i/>
                <w:lang w:val="en-CA"/>
              </w:rPr>
            </w:pPr>
          </w:p>
        </w:tc>
        <w:tc>
          <w:tcPr>
            <w:tcW w:w="8789" w:type="dxa"/>
            <w:shd w:val="clear" w:color="auto" w:fill="D0CECE" w:themeFill="background2" w:themeFillShade="E6"/>
          </w:tcPr>
          <w:p w:rsidR="003D11BA" w:rsidRPr="009C2917" w:rsidDel="009C2917" w:rsidRDefault="003D11BA" w:rsidP="00212E31">
            <w:pPr>
              <w:rPr>
                <w:i/>
                <w:lang w:val="en-CA"/>
              </w:rPr>
            </w:pPr>
            <w:r w:rsidRPr="009C2917">
              <w:rPr>
                <w:i/>
                <w:lang w:val="en-CA"/>
              </w:rPr>
              <w:t>Clinical validation</w:t>
            </w:r>
            <w:r>
              <w:rPr>
                <w:i/>
                <w:lang w:val="en-CA"/>
              </w:rPr>
              <w:t xml:space="preserve"> / verification</w:t>
            </w:r>
          </w:p>
        </w:tc>
        <w:tc>
          <w:tcPr>
            <w:tcW w:w="992" w:type="dxa"/>
            <w:shd w:val="clear" w:color="auto" w:fill="D0CECE" w:themeFill="background2" w:themeFillShade="E6"/>
          </w:tcPr>
          <w:p w:rsidR="003D11BA" w:rsidRPr="009C2917" w:rsidRDefault="003D11BA" w:rsidP="00212E31">
            <w:pPr>
              <w:jc w:val="center"/>
              <w:rPr>
                <w:i/>
                <w:lang w:val="en-CA"/>
              </w:rPr>
            </w:pPr>
          </w:p>
        </w:tc>
        <w:tc>
          <w:tcPr>
            <w:tcW w:w="3402" w:type="dxa"/>
            <w:shd w:val="clear" w:color="auto" w:fill="D0CECE" w:themeFill="background2" w:themeFillShade="E6"/>
          </w:tcPr>
          <w:p w:rsidR="003D11BA" w:rsidRPr="009C2917" w:rsidRDefault="003D11BA" w:rsidP="00212E31">
            <w:pPr>
              <w:jc w:val="center"/>
              <w:rPr>
                <w:i/>
                <w:lang w:val="en-CA"/>
              </w:rPr>
            </w:pPr>
          </w:p>
        </w:tc>
        <w:tc>
          <w:tcPr>
            <w:tcW w:w="1276" w:type="dxa"/>
            <w:shd w:val="clear" w:color="auto" w:fill="D0CECE" w:themeFill="background2" w:themeFillShade="E6"/>
          </w:tcPr>
          <w:p w:rsidR="003D11BA" w:rsidRPr="009C2917" w:rsidRDefault="003D11BA" w:rsidP="00212E31">
            <w:pPr>
              <w:jc w:val="center"/>
              <w:rPr>
                <w:i/>
                <w:lang w:val="en-CA"/>
              </w:rPr>
            </w:pPr>
          </w:p>
        </w:tc>
      </w:tr>
      <w:tr w:rsidR="003D11BA" w:rsidRPr="00F029D4" w:rsidTr="00212E31">
        <w:tc>
          <w:tcPr>
            <w:tcW w:w="704" w:type="dxa"/>
          </w:tcPr>
          <w:p w:rsidR="003D11BA" w:rsidRPr="00F029D4" w:rsidRDefault="003D11BA" w:rsidP="00212E31">
            <w:pPr>
              <w:rPr>
                <w:lang w:val="en-US"/>
              </w:rPr>
            </w:pPr>
            <w:r w:rsidRPr="00F029D4">
              <w:rPr>
                <w:lang w:val="en-US"/>
              </w:rPr>
              <w:t>4</w:t>
            </w:r>
          </w:p>
          <w:p w:rsidR="003D11BA" w:rsidRPr="00F029D4" w:rsidRDefault="003D11BA" w:rsidP="00212E31">
            <w:pPr>
              <w:rPr>
                <w:lang w:val="en-US"/>
              </w:rPr>
            </w:pPr>
          </w:p>
          <w:p w:rsidR="003D11BA" w:rsidRPr="00F029D4" w:rsidRDefault="003D11BA" w:rsidP="00212E31">
            <w:pPr>
              <w:rPr>
                <w:lang w:val="en-US"/>
              </w:rPr>
            </w:pPr>
          </w:p>
          <w:p w:rsidR="003D11BA" w:rsidRPr="00F029D4" w:rsidRDefault="003D11BA" w:rsidP="00212E31">
            <w:pPr>
              <w:rPr>
                <w:lang w:val="en-US"/>
              </w:rPr>
            </w:pPr>
            <w:r w:rsidRPr="00F029D4">
              <w:rPr>
                <w:lang w:val="en-US"/>
              </w:rPr>
              <w:t>5</w:t>
            </w:r>
          </w:p>
        </w:tc>
        <w:tc>
          <w:tcPr>
            <w:tcW w:w="8789" w:type="dxa"/>
            <w:shd w:val="clear" w:color="auto" w:fill="auto"/>
          </w:tcPr>
          <w:p w:rsidR="003D11BA" w:rsidRPr="00F029D4" w:rsidRDefault="003D11BA" w:rsidP="00212E31">
            <w:pPr>
              <w:rPr>
                <w:i/>
                <w:lang w:val="en-CA"/>
              </w:rPr>
            </w:pPr>
            <w:r w:rsidRPr="00F029D4">
              <w:rPr>
                <w:lang w:val="en-US"/>
              </w:rPr>
              <w:t xml:space="preserve">According to ISO 15189, CAP directives and the new 2017 IVD regulation, the manufacturer is responsible for the clinical validation of a CE/FDA labelled test.  National legislation can formulate additional requirements.  </w:t>
            </w:r>
          </w:p>
          <w:p w:rsidR="003D11BA" w:rsidRPr="00F029D4" w:rsidRDefault="003D11BA" w:rsidP="00212E31">
            <w:pPr>
              <w:rPr>
                <w:i/>
                <w:lang w:val="en-CA"/>
              </w:rPr>
            </w:pPr>
            <w:r w:rsidRPr="00F029D4">
              <w:rPr>
                <w:lang w:val="en-US"/>
              </w:rPr>
              <w:t xml:space="preserve">Validation of a new Hep-2 IIF method is preferentially done in large multi-center studies including diagnostic samples of clinically characterized patients and controls. Such studies should allow to estimate test result specific LRs.    </w:t>
            </w:r>
          </w:p>
        </w:tc>
        <w:tc>
          <w:tcPr>
            <w:tcW w:w="992" w:type="dxa"/>
          </w:tcPr>
          <w:p w:rsidR="003D11BA" w:rsidRPr="00F029D4" w:rsidRDefault="003D11BA" w:rsidP="00212E31">
            <w:pPr>
              <w:jc w:val="center"/>
              <w:rPr>
                <w:lang w:val="en-US"/>
              </w:rPr>
            </w:pPr>
            <w:r w:rsidRPr="00F029D4">
              <w:rPr>
                <w:lang w:val="en-US"/>
              </w:rPr>
              <w:t>A</w:t>
            </w:r>
          </w:p>
          <w:p w:rsidR="003D11BA" w:rsidRPr="00F029D4" w:rsidRDefault="003D11BA" w:rsidP="00212E31">
            <w:pPr>
              <w:rPr>
                <w:lang w:val="en-US"/>
              </w:rPr>
            </w:pPr>
          </w:p>
          <w:p w:rsidR="003D11BA" w:rsidRPr="00F029D4" w:rsidRDefault="003D11BA" w:rsidP="00212E31">
            <w:pPr>
              <w:jc w:val="center"/>
              <w:rPr>
                <w:lang w:val="en-US"/>
              </w:rPr>
            </w:pPr>
          </w:p>
          <w:p w:rsidR="003D11BA" w:rsidRPr="00F029D4" w:rsidRDefault="003D11BA" w:rsidP="00212E31">
            <w:pPr>
              <w:jc w:val="center"/>
              <w:rPr>
                <w:lang w:val="en-US"/>
              </w:rPr>
            </w:pPr>
            <w:r w:rsidRPr="00F029D4">
              <w:rPr>
                <w:lang w:val="en-US"/>
              </w:rPr>
              <w:t>B</w:t>
            </w:r>
          </w:p>
        </w:tc>
        <w:tc>
          <w:tcPr>
            <w:tcW w:w="3402" w:type="dxa"/>
          </w:tcPr>
          <w:p w:rsidR="003D11BA" w:rsidRPr="00F029D4" w:rsidRDefault="003D11BA" w:rsidP="00212E31">
            <w:pPr>
              <w:jc w:val="center"/>
              <w:rPr>
                <w:lang w:val="en-US"/>
              </w:rPr>
            </w:pPr>
            <w:r w:rsidRPr="00F029D4">
              <w:rPr>
                <w:lang w:val="en-US"/>
              </w:rPr>
              <w:t>(115), (120), (127-128), (130), (133-134), (144)</w:t>
            </w:r>
          </w:p>
        </w:tc>
        <w:tc>
          <w:tcPr>
            <w:tcW w:w="1276" w:type="dxa"/>
          </w:tcPr>
          <w:p w:rsidR="003D11BA" w:rsidRPr="00F029D4" w:rsidRDefault="003D11BA" w:rsidP="00212E31">
            <w:pPr>
              <w:jc w:val="center"/>
              <w:rPr>
                <w:lang w:val="en-US"/>
              </w:rPr>
            </w:pPr>
          </w:p>
        </w:tc>
      </w:tr>
    </w:tbl>
    <w:p w:rsidR="003D11BA" w:rsidRPr="00331A3F" w:rsidRDefault="003D11BA" w:rsidP="00212E31">
      <w:pPr>
        <w:spacing w:after="120" w:line="240" w:lineRule="auto"/>
        <w:ind w:left="142"/>
        <w:rPr>
          <w:color w:val="000000" w:themeColor="text1"/>
          <w:sz w:val="18"/>
          <w:szCs w:val="18"/>
          <w:lang w:val="en-CA"/>
        </w:rPr>
      </w:pPr>
      <w:r w:rsidRPr="00331A3F">
        <w:rPr>
          <w:color w:val="000000" w:themeColor="text1"/>
          <w:sz w:val="18"/>
          <w:szCs w:val="18"/>
          <w:lang w:val="en-CA"/>
        </w:rPr>
        <w:t xml:space="preserve">Grading: A [experimental data/literature source is available] , B [expert opinion].  </w:t>
      </w:r>
    </w:p>
    <w:p w:rsidR="003D11BA" w:rsidRPr="00331A3F" w:rsidRDefault="003D11BA" w:rsidP="00212E31">
      <w:pPr>
        <w:spacing w:after="120" w:line="240" w:lineRule="auto"/>
        <w:ind w:left="142"/>
        <w:rPr>
          <w:color w:val="000000" w:themeColor="text1"/>
          <w:sz w:val="18"/>
          <w:szCs w:val="18"/>
          <w:lang w:val="en-CA"/>
        </w:rPr>
      </w:pPr>
      <w:r w:rsidRPr="003D11BA">
        <w:rPr>
          <w:color w:val="000000" w:themeColor="text1"/>
          <w:sz w:val="18"/>
          <w:szCs w:val="18"/>
          <w:lang w:val="en-CA"/>
        </w:rPr>
        <w:t>Delphi scoring on a scale 1-10 [0 - absolutely no agreement with the recommendation; 10 - maximal support for the recommendation]</w:t>
      </w:r>
      <w:r w:rsidRPr="00331A3F">
        <w:rPr>
          <w:color w:val="000000" w:themeColor="text1"/>
          <w:sz w:val="18"/>
          <w:szCs w:val="18"/>
          <w:lang w:val="en-CA"/>
        </w:rPr>
        <w:t xml:space="preserve"> </w:t>
      </w:r>
    </w:p>
    <w:p w:rsidR="003D11BA" w:rsidRDefault="003D11BA" w:rsidP="00212E31">
      <w:pPr>
        <w:rPr>
          <w:lang w:val="en-US"/>
        </w:rPr>
        <w:sectPr w:rsidR="003D11BA" w:rsidSect="00212E31">
          <w:pgSz w:w="16838" w:h="11906" w:orient="landscape"/>
          <w:pgMar w:top="1418" w:right="1418" w:bottom="1418" w:left="1418" w:header="709" w:footer="709" w:gutter="0"/>
          <w:lnNumType w:countBy="1" w:restart="continuous"/>
          <w:cols w:space="708"/>
          <w:docGrid w:linePitch="360"/>
        </w:sectPr>
      </w:pPr>
    </w:p>
    <w:p w:rsidR="003D11BA" w:rsidRPr="00EB295D" w:rsidRDefault="003D11BA" w:rsidP="00212E31">
      <w:pPr>
        <w:spacing w:line="240" w:lineRule="auto"/>
        <w:jc w:val="both"/>
        <w:rPr>
          <w:lang w:val="en-US"/>
        </w:rPr>
      </w:pPr>
    </w:p>
    <w:p w:rsidR="003D11BA" w:rsidRPr="00835160" w:rsidRDefault="003D11BA" w:rsidP="00212E31">
      <w:pPr>
        <w:spacing w:line="240" w:lineRule="auto"/>
        <w:jc w:val="both"/>
        <w:rPr>
          <w:b/>
          <w:lang w:val="fr-FR"/>
        </w:rPr>
      </w:pPr>
      <w:r w:rsidRPr="00835160">
        <w:rPr>
          <w:b/>
          <w:lang w:val="fr-FR"/>
        </w:rPr>
        <w:t>REFERENCES</w:t>
      </w:r>
    </w:p>
    <w:p w:rsidR="003D11BA" w:rsidRPr="00FE7CC5" w:rsidRDefault="003D11BA" w:rsidP="00212E31">
      <w:pPr>
        <w:pStyle w:val="EndNoteBibliography"/>
        <w:spacing w:after="0"/>
      </w:pPr>
      <w:r w:rsidRPr="00605638">
        <w:rPr>
          <w:lang w:val="fr-FR"/>
        </w:rPr>
        <w:t>1.</w:t>
      </w:r>
      <w:r w:rsidRPr="00605638">
        <w:rPr>
          <w:lang w:val="fr-FR"/>
        </w:rPr>
        <w:tab/>
        <w:t xml:space="preserve">Bossuyt X, De Langhe E, Borghi MO, Meroni PL. </w:t>
      </w:r>
      <w:r w:rsidRPr="00FE7CC5">
        <w:t xml:space="preserve">Understanding and interpreting antinuclear antibody tests in systemic rheumatic diseases. </w:t>
      </w:r>
      <w:r w:rsidR="00212E31">
        <w:t>Nat Rev Rheumatol</w:t>
      </w:r>
      <w:r w:rsidRPr="00FE7CC5">
        <w:t>. 2020;16(12):715-26.</w:t>
      </w:r>
    </w:p>
    <w:p w:rsidR="003D11BA" w:rsidRPr="00FE7CC5" w:rsidRDefault="003D11BA" w:rsidP="00212E31">
      <w:pPr>
        <w:pStyle w:val="EndNoteBibliography"/>
        <w:spacing w:after="0"/>
      </w:pPr>
      <w:r w:rsidRPr="00FE7CC5">
        <w:t>2.</w:t>
      </w:r>
      <w:r w:rsidRPr="00FE7CC5">
        <w:tab/>
        <w:t xml:space="preserve">Martini A, Ravelli A, Avcin T, Beresford MW, Burgos-Vargas R, Cuttica R, et al. Toward New Classification Criteria for Juvenile Idiopathic Arthritis: First Steps, Pediatric Rheumatology International Trials Organization International Consensus. </w:t>
      </w:r>
      <w:r w:rsidR="00212E31">
        <w:t>J Rheumatol</w:t>
      </w:r>
      <w:r w:rsidRPr="00FE7CC5">
        <w:t>. 2019;46(2):190-7.</w:t>
      </w:r>
    </w:p>
    <w:p w:rsidR="003D11BA" w:rsidRPr="00FE7CC5" w:rsidRDefault="003D11BA" w:rsidP="00212E31">
      <w:pPr>
        <w:pStyle w:val="EndNoteBibliography"/>
        <w:spacing w:after="0"/>
      </w:pPr>
      <w:r w:rsidRPr="00FE7CC5">
        <w:t>3.</w:t>
      </w:r>
      <w:r w:rsidRPr="00FE7CC5">
        <w:tab/>
        <w:t xml:space="preserve">Vergani D, Alvarez F, Bianchi FB, Cancado EL, Mackay IR, Manns MP, et al. Liver autoimmune serology: a consensus statement from the committee for autoimmune serology of the International Autoimmune Hepatitis Group. </w:t>
      </w:r>
      <w:r w:rsidR="00212E31">
        <w:t>J Hepatol.</w:t>
      </w:r>
      <w:r w:rsidRPr="00FE7CC5">
        <w:t xml:space="preserve"> 2004;41(4):677-83.</w:t>
      </w:r>
    </w:p>
    <w:p w:rsidR="003D11BA" w:rsidRPr="00605638" w:rsidRDefault="003D11BA" w:rsidP="00212E31">
      <w:pPr>
        <w:pStyle w:val="EndNoteBibliography"/>
        <w:spacing w:after="0"/>
        <w:rPr>
          <w:lang w:val="fr-FR"/>
        </w:rPr>
      </w:pPr>
      <w:r w:rsidRPr="00FE7CC5">
        <w:t>4.</w:t>
      </w:r>
      <w:r w:rsidRPr="00FE7CC5">
        <w:tab/>
        <w:t xml:space="preserve">Liver. EAftSot. EASL Clinical Practice Guidelines: The diagnosis and management of patients with primary biliary cholangitis. </w:t>
      </w:r>
      <w:r w:rsidR="00212E31" w:rsidRPr="00605638">
        <w:rPr>
          <w:lang w:val="fr-FR"/>
        </w:rPr>
        <w:t xml:space="preserve">J Hepatol. </w:t>
      </w:r>
      <w:r w:rsidRPr="00605638">
        <w:rPr>
          <w:lang w:val="fr-FR"/>
        </w:rPr>
        <w:t>2017;67(1):145-72.</w:t>
      </w:r>
    </w:p>
    <w:p w:rsidR="003D11BA" w:rsidRPr="00FE7CC5" w:rsidRDefault="003D11BA" w:rsidP="00212E31">
      <w:pPr>
        <w:pStyle w:val="EndNoteBibliography"/>
        <w:spacing w:after="0"/>
      </w:pPr>
      <w:r w:rsidRPr="00605638">
        <w:rPr>
          <w:lang w:val="fr-FR"/>
        </w:rPr>
        <w:t>5.</w:t>
      </w:r>
      <w:r w:rsidRPr="00605638">
        <w:rPr>
          <w:lang w:val="fr-FR"/>
        </w:rPr>
        <w:tab/>
        <w:t xml:space="preserve">Francescantonio PL, Cruvinel Wde M, Dellavance A, Andrade LE, Taliberti BH, von Muhlen CA, et al. </w:t>
      </w:r>
      <w:r w:rsidRPr="00FE7CC5">
        <w:t xml:space="preserve">IV Brazilian guidelines for autoantibodies on HEp-2 cells. </w:t>
      </w:r>
      <w:r w:rsidR="00212E31">
        <w:t>Rev Bras Reumatol</w:t>
      </w:r>
      <w:r w:rsidRPr="00FE7CC5">
        <w:t>. 2014;54(1):44-50.</w:t>
      </w:r>
    </w:p>
    <w:p w:rsidR="003D11BA" w:rsidRPr="00FE7CC5" w:rsidRDefault="003D11BA" w:rsidP="00212E31">
      <w:pPr>
        <w:pStyle w:val="EndNoteBibliography"/>
        <w:spacing w:after="0"/>
      </w:pPr>
      <w:r w:rsidRPr="00FE7CC5">
        <w:t>6.</w:t>
      </w:r>
      <w:r w:rsidRPr="00FE7CC5">
        <w:tab/>
        <w:t xml:space="preserve">Ling M, Murali M. Antinuclear Antibody Tests. </w:t>
      </w:r>
      <w:r w:rsidR="001B71E0" w:rsidRPr="001B71E0">
        <w:t>Clin Lab Med.</w:t>
      </w:r>
      <w:r w:rsidRPr="00FE7CC5">
        <w:t xml:space="preserve"> 2019;39(4):513-24.</w:t>
      </w:r>
    </w:p>
    <w:p w:rsidR="003D11BA" w:rsidRPr="00FE7CC5" w:rsidRDefault="003D11BA" w:rsidP="00212E31">
      <w:pPr>
        <w:pStyle w:val="EndNoteBibliography"/>
        <w:spacing w:after="0"/>
      </w:pPr>
      <w:r w:rsidRPr="00FE7CC5">
        <w:t>7.</w:t>
      </w:r>
      <w:r w:rsidRPr="00FE7CC5">
        <w:tab/>
        <w:t xml:space="preserve">Meroni PL, Schur PH. ANA screening: an old test with new recommendations. </w:t>
      </w:r>
      <w:r w:rsidR="001B71E0">
        <w:t>Ann Rheum Dis</w:t>
      </w:r>
      <w:r w:rsidRPr="00FE7CC5">
        <w:t>. 2010;69(8):1420-2.</w:t>
      </w:r>
    </w:p>
    <w:p w:rsidR="003D11BA" w:rsidRPr="00FE7CC5" w:rsidRDefault="003D11BA" w:rsidP="00212E31">
      <w:pPr>
        <w:pStyle w:val="EndNoteBibliography"/>
        <w:spacing w:after="0"/>
      </w:pPr>
      <w:r w:rsidRPr="00FE7CC5">
        <w:t>8.</w:t>
      </w:r>
      <w:r w:rsidRPr="00FE7CC5">
        <w:tab/>
        <w:t xml:space="preserve">Agmon-Levin N, Damoiseaux J, Kallenberg C, Sack U, Witte T, Herold M, et al. International recommendations for the assessment of autoantibodies to cellular antigens referred to as anti-nuclear antibodies. </w:t>
      </w:r>
      <w:r w:rsidR="001B71E0">
        <w:t>Ann Rheum Dis</w:t>
      </w:r>
      <w:r w:rsidRPr="00FE7CC5">
        <w:t>. 2014;73(1):17-23.</w:t>
      </w:r>
    </w:p>
    <w:p w:rsidR="003D11BA" w:rsidRPr="00FE7CC5" w:rsidRDefault="003D11BA" w:rsidP="00212E31">
      <w:pPr>
        <w:pStyle w:val="EndNoteBibliography"/>
        <w:spacing w:after="0"/>
      </w:pPr>
      <w:r w:rsidRPr="00FE7CC5">
        <w:t>9.</w:t>
      </w:r>
      <w:r w:rsidRPr="00FE7CC5">
        <w:tab/>
        <w:t xml:space="preserve">Aringer M, Costenbader K, Daikh D, Brinks R, Mosca M, Ramsey-Goldman R, et al. 2019 European League Against Rheumatism/American College of Rheumatology Classification Criteria for Systemic Lupus Erythematosus. </w:t>
      </w:r>
      <w:r w:rsidR="001B71E0">
        <w:t>Arthritis Rheumatol</w:t>
      </w:r>
      <w:r w:rsidRPr="00FE7CC5">
        <w:t xml:space="preserve"> (Hoboken, NJ). 2019;71(9):1400-12.</w:t>
      </w:r>
    </w:p>
    <w:p w:rsidR="003D11BA" w:rsidRPr="00FE7CC5" w:rsidRDefault="003D11BA" w:rsidP="00212E31">
      <w:pPr>
        <w:pStyle w:val="EndNoteBibliography"/>
        <w:spacing w:after="0"/>
      </w:pPr>
      <w:r w:rsidRPr="00FE7CC5">
        <w:t>10.</w:t>
      </w:r>
      <w:r w:rsidRPr="00FE7CC5">
        <w:tab/>
        <w:t xml:space="preserve">Orme ME, Andalucia C, Sjolander S, Bossuyt X. A hierarchical bivariate meta-analysis of diagnostic test accuracy to provide direct comparisons of immunoassays vs. indirect immunofluorescence for initial screening of connective tissue diseases. </w:t>
      </w:r>
      <w:r w:rsidR="001B71E0">
        <w:t>Clin Chem Lab Med</w:t>
      </w:r>
      <w:r w:rsidRPr="00FE7CC5">
        <w:t>. 2021;59(3):547-61.</w:t>
      </w:r>
    </w:p>
    <w:p w:rsidR="003D11BA" w:rsidRPr="00FE7CC5" w:rsidRDefault="003D11BA" w:rsidP="00212E31">
      <w:pPr>
        <w:pStyle w:val="EndNoteBibliography"/>
        <w:spacing w:after="0"/>
      </w:pPr>
      <w:r w:rsidRPr="00FE7CC5">
        <w:t>11.</w:t>
      </w:r>
      <w:r w:rsidRPr="00FE7CC5">
        <w:tab/>
        <w:t xml:space="preserve">Bossuyt X, Fieuws S. Detection of antinuclear antibodies: added value of solid phase assay? </w:t>
      </w:r>
      <w:r w:rsidR="001B71E0">
        <w:t>Ann Rheum Dis</w:t>
      </w:r>
      <w:r w:rsidRPr="00FE7CC5">
        <w:t>. 2014;73(3):e10.</w:t>
      </w:r>
    </w:p>
    <w:p w:rsidR="003D11BA" w:rsidRPr="003D11BA" w:rsidRDefault="003D11BA" w:rsidP="00212E31">
      <w:pPr>
        <w:pStyle w:val="EndNoteBibliography"/>
        <w:spacing w:after="0"/>
        <w:rPr>
          <w:lang w:val="nl-BE"/>
        </w:rPr>
      </w:pPr>
      <w:r w:rsidRPr="00FE7CC5">
        <w:t>12.</w:t>
      </w:r>
      <w:r w:rsidRPr="00FE7CC5">
        <w:tab/>
        <w:t xml:space="preserve">Orme ME, Andalucia C, Sjolander S, Bossuyt X. A comparison of a fluorescence enzyme immunoassay versus indirect immunofluorescence for initial screening of connective tissue diseases: Systematic literature review and meta-analysis of diagnostic test accuracy studies. </w:t>
      </w:r>
      <w:r w:rsidR="00C42DD9">
        <w:rPr>
          <w:lang w:val="nl-BE"/>
        </w:rPr>
        <w:t>Best Pract Res Clin Rheumatol</w:t>
      </w:r>
      <w:r w:rsidRPr="003D11BA">
        <w:rPr>
          <w:lang w:val="nl-BE"/>
        </w:rPr>
        <w:t xml:space="preserve"> 2018;32(4):521-34.</w:t>
      </w:r>
    </w:p>
    <w:p w:rsidR="003D11BA" w:rsidRPr="003D11BA" w:rsidRDefault="003D11BA" w:rsidP="00212E31">
      <w:pPr>
        <w:pStyle w:val="EndNoteBibliography"/>
        <w:spacing w:after="0"/>
        <w:rPr>
          <w:lang w:val="nl-BE"/>
        </w:rPr>
      </w:pPr>
      <w:r w:rsidRPr="003D11BA">
        <w:rPr>
          <w:lang w:val="nl-BE"/>
        </w:rPr>
        <w:t>13.</w:t>
      </w:r>
      <w:r w:rsidRPr="003D11BA">
        <w:rPr>
          <w:lang w:val="nl-BE"/>
        </w:rPr>
        <w:tab/>
        <w:t xml:space="preserve">Willems P, De Langhe E, Claessens J, Westhovens R, Van Hoeyveld E, Poesen K, et al. </w:t>
      </w:r>
      <w:r w:rsidRPr="00FE7CC5">
        <w:t xml:space="preserve">Screening for connective tissue disease-associated antibodies by automated immunoassay. </w:t>
      </w:r>
      <w:r w:rsidR="001B71E0">
        <w:rPr>
          <w:lang w:val="nl-BE"/>
        </w:rPr>
        <w:t>Clin Chem Lab Med</w:t>
      </w:r>
      <w:r w:rsidRPr="003D11BA">
        <w:rPr>
          <w:lang w:val="nl-BE"/>
        </w:rPr>
        <w:t>. 2018;56(6):909-18.</w:t>
      </w:r>
    </w:p>
    <w:p w:rsidR="003D11BA" w:rsidRPr="00FE7CC5" w:rsidRDefault="003D11BA" w:rsidP="00212E31">
      <w:pPr>
        <w:pStyle w:val="EndNoteBibliography"/>
        <w:spacing w:after="0"/>
      </w:pPr>
      <w:r w:rsidRPr="003D11BA">
        <w:rPr>
          <w:lang w:val="nl-BE"/>
        </w:rPr>
        <w:t>14.</w:t>
      </w:r>
      <w:r w:rsidRPr="003D11BA">
        <w:rPr>
          <w:lang w:val="nl-BE"/>
        </w:rPr>
        <w:tab/>
        <w:t xml:space="preserve">Op De Beeck K, Vermeersch P, Verschueren P, Westhovens R, Marien G, Blockmans D, et al. </w:t>
      </w:r>
      <w:r w:rsidRPr="00FE7CC5">
        <w:t xml:space="preserve">Detection of antinuclear antibodies by indirect immunofluorescence and by solid phase assay. </w:t>
      </w:r>
      <w:r w:rsidR="00C42DD9">
        <w:t>Autoimmun Rev</w:t>
      </w:r>
      <w:r w:rsidRPr="00FE7CC5">
        <w:t>. 2011;10(12):801-8.</w:t>
      </w:r>
    </w:p>
    <w:p w:rsidR="003D11BA" w:rsidRPr="00FE7CC5" w:rsidRDefault="003D11BA" w:rsidP="00212E31">
      <w:pPr>
        <w:pStyle w:val="EndNoteBibliography"/>
        <w:spacing w:after="0"/>
      </w:pPr>
      <w:r w:rsidRPr="00FE7CC5">
        <w:t>15.</w:t>
      </w:r>
      <w:r w:rsidRPr="00FE7CC5">
        <w:tab/>
        <w:t xml:space="preserve">Claessens J, Belmondo T, De Langhe E, Westhovens R, Poesen K, Hue S, et al. Solid phase assays versus automated indirect immunofluorescence for detection of antinuclear antibodies. </w:t>
      </w:r>
      <w:r w:rsidR="00C42DD9">
        <w:t>Autoimmun Rev</w:t>
      </w:r>
      <w:r w:rsidRPr="00FE7CC5">
        <w:t>. 2018;17(6):533-40.</w:t>
      </w:r>
    </w:p>
    <w:p w:rsidR="003D11BA" w:rsidRPr="00FE7CC5" w:rsidRDefault="003D11BA" w:rsidP="00212E31">
      <w:pPr>
        <w:pStyle w:val="EndNoteBibliography"/>
        <w:spacing w:after="0"/>
      </w:pPr>
      <w:r w:rsidRPr="00FE7CC5">
        <w:t>16.</w:t>
      </w:r>
      <w:r w:rsidRPr="00FE7CC5">
        <w:tab/>
        <w:t xml:space="preserve">Bossuyt X, Claessens J, De Langhe E, Belmondo T, Westhovens R, Hue S, et al. Antinuclear antibodies by indirect immunofluorescence and solid phase assays. </w:t>
      </w:r>
      <w:r w:rsidR="001B71E0">
        <w:t>Ann Rheum Dis</w:t>
      </w:r>
      <w:r w:rsidRPr="00FE7CC5">
        <w:t>. 2020;79(6):e65.</w:t>
      </w:r>
    </w:p>
    <w:p w:rsidR="003D11BA" w:rsidRPr="00605638" w:rsidRDefault="003D11BA" w:rsidP="00212E31">
      <w:pPr>
        <w:pStyle w:val="EndNoteBibliography"/>
        <w:spacing w:after="0"/>
        <w:rPr>
          <w:lang w:val="fr-FR"/>
        </w:rPr>
      </w:pPr>
      <w:r w:rsidRPr="00FE7CC5">
        <w:t>17.</w:t>
      </w:r>
      <w:r w:rsidRPr="00FE7CC5">
        <w:tab/>
        <w:t xml:space="preserve">Bizzaro N, Brusca I, Previtali G, Alessio MG, Daves M, Platzgummer S, et al. The association of solid-phase assays to immunofluorescence increases the diagnostic accuracy for ANA screening in patients with autoimmune rheumatic diseases. </w:t>
      </w:r>
      <w:r w:rsidR="00C42DD9" w:rsidRPr="00605638">
        <w:rPr>
          <w:lang w:val="fr-FR"/>
        </w:rPr>
        <w:t>Autoimmun Rev</w:t>
      </w:r>
      <w:r w:rsidRPr="00605638">
        <w:rPr>
          <w:lang w:val="fr-FR"/>
        </w:rPr>
        <w:t>. 2018;17(6):541-7.</w:t>
      </w:r>
    </w:p>
    <w:p w:rsidR="003D11BA" w:rsidRPr="00FE7CC5" w:rsidRDefault="003D11BA" w:rsidP="00212E31">
      <w:pPr>
        <w:pStyle w:val="EndNoteBibliography"/>
        <w:spacing w:after="0"/>
      </w:pPr>
      <w:r w:rsidRPr="00605638">
        <w:rPr>
          <w:lang w:val="fr-FR"/>
        </w:rPr>
        <w:t>18.</w:t>
      </w:r>
      <w:r w:rsidRPr="00605638">
        <w:rPr>
          <w:lang w:val="fr-FR"/>
        </w:rPr>
        <w:tab/>
        <w:t xml:space="preserve">Ravelli A, Felici E, Magni-Manzoni S, Pistorio A, Novarini C, Bozzola E, et al. </w:t>
      </w:r>
      <w:r w:rsidRPr="00FE7CC5">
        <w:t xml:space="preserve">Patients with antinuclear antibody-positive juvenile idiopathic arthritis constitute a homogeneous subgroup irrespective of the course of joint disease. </w:t>
      </w:r>
      <w:r w:rsidR="00C42DD9">
        <w:t xml:space="preserve">Arthritis Rheum </w:t>
      </w:r>
      <w:r w:rsidRPr="00FE7CC5">
        <w:t>. 2005;52(3):826-32.</w:t>
      </w:r>
    </w:p>
    <w:p w:rsidR="003D11BA" w:rsidRPr="00605638" w:rsidRDefault="003D11BA" w:rsidP="00212E31">
      <w:pPr>
        <w:pStyle w:val="EndNoteBibliography"/>
        <w:spacing w:after="0"/>
        <w:rPr>
          <w:lang w:val="nl-BE"/>
        </w:rPr>
      </w:pPr>
      <w:r w:rsidRPr="00FE7CC5">
        <w:lastRenderedPageBreak/>
        <w:t>19.</w:t>
      </w:r>
      <w:r w:rsidRPr="00FE7CC5">
        <w:tab/>
        <w:t xml:space="preserve">Ravelli A, Varnier GC, Oliveira S, Castell E, Arguedas O, Magnani A, et al. Antinuclear antibody-positive patients should be grouped as a separate category in the classification of juvenile idiopathic arthritis. </w:t>
      </w:r>
      <w:r w:rsidR="00C42DD9" w:rsidRPr="00605638">
        <w:rPr>
          <w:lang w:val="nl-BE"/>
        </w:rPr>
        <w:t xml:space="preserve">Arthritis Rheum </w:t>
      </w:r>
      <w:r w:rsidRPr="00605638">
        <w:rPr>
          <w:lang w:val="nl-BE"/>
        </w:rPr>
        <w:t>. 2011;63(1):267-75.</w:t>
      </w:r>
    </w:p>
    <w:p w:rsidR="003D11BA" w:rsidRPr="00FE7CC5" w:rsidRDefault="003D11BA" w:rsidP="00212E31">
      <w:pPr>
        <w:pStyle w:val="EndNoteBibliography"/>
        <w:spacing w:after="0"/>
      </w:pPr>
      <w:r w:rsidRPr="00605638">
        <w:rPr>
          <w:lang w:val="nl-BE"/>
        </w:rPr>
        <w:t>20.</w:t>
      </w:r>
      <w:r w:rsidRPr="00605638">
        <w:rPr>
          <w:lang w:val="nl-BE"/>
        </w:rPr>
        <w:tab/>
        <w:t xml:space="preserve">Rypdal V, Glerup M, Songstad NT, Bertelsen G, Christoffersen T, Arnstad ED, et al. </w:t>
      </w:r>
      <w:r w:rsidRPr="00FE7CC5">
        <w:t>Uveitis in Juvenile Idiopathic Arthritis: 18-Year Outcome in the Population-based Nordic Cohort Study. Ophthalmology. 2021;128(4):598-608.</w:t>
      </w:r>
    </w:p>
    <w:p w:rsidR="003D11BA" w:rsidRPr="00FE7CC5" w:rsidRDefault="003D11BA" w:rsidP="00212E31">
      <w:pPr>
        <w:pStyle w:val="EndNoteBibliography"/>
        <w:spacing w:after="0"/>
      </w:pPr>
      <w:r w:rsidRPr="00FE7CC5">
        <w:t>21.</w:t>
      </w:r>
      <w:r w:rsidRPr="00FE7CC5">
        <w:tab/>
        <w:t xml:space="preserve">Nordal E, Rypdal V, Christoffersen T, Aalto K, Berntson L, Fasth A, et al. Incidence and predictors of Uveitis in juvenile idiopathic arthritis in a Nordic long-term cohort study. </w:t>
      </w:r>
      <w:r w:rsidR="00C42DD9">
        <w:t>Pediatr Rheumatol Online J</w:t>
      </w:r>
      <w:r w:rsidRPr="00FE7CC5">
        <w:t>. 2017;15(1):66.</w:t>
      </w:r>
    </w:p>
    <w:p w:rsidR="003D11BA" w:rsidRPr="00FE7CC5" w:rsidRDefault="003D11BA" w:rsidP="00212E31">
      <w:pPr>
        <w:pStyle w:val="EndNoteBibliography"/>
        <w:spacing w:after="0"/>
      </w:pPr>
      <w:r w:rsidRPr="00FE7CC5">
        <w:t>22.</w:t>
      </w:r>
      <w:r w:rsidRPr="00FE7CC5">
        <w:tab/>
        <w:t xml:space="preserve">Saurenmann RK, Levin AV, Feldman BM, Laxer RM, Schneider R, Silverman ED. Risk factors for development of uveitis differ between girls and boys with juvenile idiopathic arthritis. </w:t>
      </w:r>
      <w:r w:rsidR="00C42DD9">
        <w:t>Arthritis Rheum</w:t>
      </w:r>
      <w:r w:rsidRPr="00FE7CC5">
        <w:t>. 2010;62(6):1824-8.</w:t>
      </w:r>
    </w:p>
    <w:p w:rsidR="003D11BA" w:rsidRPr="00FE7CC5" w:rsidRDefault="003D11BA" w:rsidP="00212E31">
      <w:pPr>
        <w:pStyle w:val="EndNoteBibliography"/>
        <w:spacing w:after="0"/>
      </w:pPr>
      <w:r w:rsidRPr="00FE7CC5">
        <w:t>23.</w:t>
      </w:r>
      <w:r w:rsidRPr="00FE7CC5">
        <w:tab/>
        <w:t xml:space="preserve">Nordal EB, Songstad NT, Berntson L, Moen T, Straume B, Rygg M. Biomarkers of chronic uveitis in juvenile idiopathic arthritis: predictive value of antihistone antibodies and antinuclear antibodies. </w:t>
      </w:r>
      <w:r w:rsidR="00212E31">
        <w:t>J Rheumatol</w:t>
      </w:r>
      <w:r w:rsidRPr="00FE7CC5">
        <w:t>. 2009;36(8):1737-43.</w:t>
      </w:r>
    </w:p>
    <w:p w:rsidR="003D11BA" w:rsidRPr="00FE7CC5" w:rsidRDefault="003D11BA" w:rsidP="00212E31">
      <w:pPr>
        <w:pStyle w:val="EndNoteBibliography"/>
        <w:spacing w:after="0"/>
      </w:pPr>
      <w:r w:rsidRPr="00FE7CC5">
        <w:t>24.</w:t>
      </w:r>
      <w:r w:rsidRPr="00FE7CC5">
        <w:tab/>
        <w:t xml:space="preserve">Alvarez F, Berg PA, Bianchi FB, Bianchi L, Burroughs AK, Cancado EL, et al. International Autoimmune Hepatitis Group Report: review of criteria for diagnosis of autoimmune hepatitis. </w:t>
      </w:r>
      <w:r w:rsidR="00C42DD9">
        <w:t>J Hepatol</w:t>
      </w:r>
      <w:r w:rsidRPr="00FE7CC5">
        <w:t>. 1999;31(5):929-38.</w:t>
      </w:r>
    </w:p>
    <w:p w:rsidR="003D11BA" w:rsidRPr="00FE7CC5" w:rsidRDefault="003D11BA" w:rsidP="00212E31">
      <w:pPr>
        <w:pStyle w:val="EndNoteBibliography"/>
        <w:spacing w:after="0"/>
      </w:pPr>
      <w:r w:rsidRPr="00FE7CC5">
        <w:t>25.</w:t>
      </w:r>
      <w:r w:rsidRPr="00FE7CC5">
        <w:tab/>
        <w:t>Hennes EM, Zeniya M, Czaja AJ, Pares A, Dalekos GN, Krawitt EL, et al. Simplified criteria for the diagnosis of autoimmune hepatitis. Hepatology (Baltimore, Md). 2008;48(1):169-76.</w:t>
      </w:r>
    </w:p>
    <w:p w:rsidR="003D11BA" w:rsidRPr="00FE7CC5" w:rsidRDefault="003D11BA" w:rsidP="00212E31">
      <w:pPr>
        <w:pStyle w:val="EndNoteBibliography"/>
        <w:spacing w:after="0"/>
      </w:pPr>
      <w:r w:rsidRPr="00FE7CC5">
        <w:t>26.</w:t>
      </w:r>
      <w:r w:rsidRPr="00FE7CC5">
        <w:tab/>
        <w:t xml:space="preserve">Mieli-Vergani G, Vergani D, Baumann U, Czubkowski P, Debray D, Dezsofi A, et al. Diagnosis and Management of Pediatric Autoimmune Liver Disease: ESPGHAN Hepatology Committee Position Statement. </w:t>
      </w:r>
      <w:r w:rsidR="00C42DD9">
        <w:t>J Pediatr Gastroenterol Nutr</w:t>
      </w:r>
      <w:r w:rsidRPr="00FE7CC5">
        <w:t>. 2018;66(2):345-60.</w:t>
      </w:r>
    </w:p>
    <w:p w:rsidR="003D11BA" w:rsidRPr="00FE7CC5" w:rsidRDefault="003D11BA" w:rsidP="00212E31">
      <w:pPr>
        <w:pStyle w:val="EndNoteBibliography"/>
        <w:spacing w:after="0"/>
      </w:pPr>
      <w:r w:rsidRPr="00FE7CC5">
        <w:t>27.</w:t>
      </w:r>
      <w:r w:rsidRPr="00FE7CC5">
        <w:tab/>
        <w:t xml:space="preserve">Porcelli B, Terzuoli L, Bacarelli MR, Cinci F, Bizzaro N. How reliable is the detection of anti-mitochondrial antibodies on murine triple-tissue? </w:t>
      </w:r>
      <w:r w:rsidR="001B71E0">
        <w:t>Clin Chem Lab Med</w:t>
      </w:r>
      <w:r w:rsidRPr="00FE7CC5">
        <w:t>. 2020;58(8):e142-e3.</w:t>
      </w:r>
    </w:p>
    <w:p w:rsidR="003638A5" w:rsidRDefault="003D11BA" w:rsidP="00212E31">
      <w:pPr>
        <w:pStyle w:val="EndNoteBibliography"/>
        <w:spacing w:after="0"/>
      </w:pPr>
      <w:r w:rsidRPr="00FE7CC5">
        <w:t>28.</w:t>
      </w:r>
      <w:r w:rsidRPr="00FE7CC5">
        <w:tab/>
      </w:r>
      <w:r w:rsidR="003638A5" w:rsidRPr="001E4A82">
        <w:t xml:space="preserve">Florin L, Rubben K, Vanhaecke A, Devreese K, De Keyser F, Smith V, et al. Evaluation of the primary biliary cholangitis-related serologic profile in a large cohort of Belgian systemic sclerosis patients. </w:t>
      </w:r>
      <w:r w:rsidR="003638A5" w:rsidRPr="00605638">
        <w:t>Clin Chem Lab Med</w:t>
      </w:r>
      <w:r w:rsidR="003638A5" w:rsidRPr="001E4A82">
        <w:t>. 2020;58(3):416-23.</w:t>
      </w:r>
    </w:p>
    <w:p w:rsidR="003D11BA" w:rsidRPr="00FE7CC5" w:rsidRDefault="003D11BA" w:rsidP="00212E31">
      <w:pPr>
        <w:pStyle w:val="EndNoteBibliography"/>
        <w:spacing w:after="0"/>
      </w:pPr>
      <w:r w:rsidRPr="00FE7CC5">
        <w:t>29.</w:t>
      </w:r>
      <w:r w:rsidRPr="00FE7CC5">
        <w:tab/>
        <w:t xml:space="preserve">Guo YP, Wang CG, Liu X, Huang YQ, Guo DL, Jing XZ, et al. The prevalence of antinuclear antibodies in the general population of china: a cross-sectional study. </w:t>
      </w:r>
      <w:r w:rsidR="003638A5">
        <w:t>Curr Ther Res Clin Exp</w:t>
      </w:r>
      <w:r w:rsidRPr="00FE7CC5">
        <w:t>. 2014;76:116-9.</w:t>
      </w:r>
    </w:p>
    <w:p w:rsidR="003D11BA" w:rsidRPr="00FE7CC5" w:rsidRDefault="003D11BA" w:rsidP="00212E31">
      <w:pPr>
        <w:pStyle w:val="EndNoteBibliography"/>
        <w:spacing w:after="0"/>
      </w:pPr>
      <w:r w:rsidRPr="00FE7CC5">
        <w:t>30.</w:t>
      </w:r>
      <w:r w:rsidRPr="00FE7CC5">
        <w:tab/>
        <w:t xml:space="preserve">Satoh M, Chan EK, Ho LA, Rose KM, Parks CG, Cohn RD, et al. Prevalence and sociodemographic correlates of antinuclear antibodies in the United States. </w:t>
      </w:r>
      <w:r w:rsidR="00C42DD9">
        <w:t xml:space="preserve">Arthritis Rheum </w:t>
      </w:r>
      <w:r w:rsidRPr="00FE7CC5">
        <w:t>. 2012;64(7):2319-27.</w:t>
      </w:r>
    </w:p>
    <w:p w:rsidR="003D11BA" w:rsidRPr="00FE7CC5" w:rsidRDefault="003D11BA" w:rsidP="00212E31">
      <w:pPr>
        <w:pStyle w:val="EndNoteBibliography"/>
        <w:spacing w:after="0"/>
      </w:pPr>
      <w:r w:rsidRPr="00FE7CC5">
        <w:t>31.</w:t>
      </w:r>
      <w:r w:rsidRPr="00FE7CC5">
        <w:tab/>
        <w:t xml:space="preserve">Akmatov MK, Rober N, Ahrens W, Flesch-Janys D, Fricke J, Greiser H, et al. Anti-nuclear autoantibodies in the general German population: prevalence and lack of association with selected cardiovascular and metabolic disorders-findings of a multicenter population-based study. </w:t>
      </w:r>
      <w:r w:rsidR="003638A5">
        <w:t>Arthritis Res Ther</w:t>
      </w:r>
      <w:r w:rsidRPr="00FE7CC5">
        <w:t>. 2017;19(1):127.</w:t>
      </w:r>
    </w:p>
    <w:p w:rsidR="003D11BA" w:rsidRPr="00FE7CC5" w:rsidRDefault="003D11BA" w:rsidP="00212E31">
      <w:pPr>
        <w:pStyle w:val="EndNoteBibliography"/>
        <w:spacing w:after="0"/>
      </w:pPr>
      <w:r w:rsidRPr="00FE7CC5">
        <w:t>32.</w:t>
      </w:r>
      <w:r w:rsidRPr="00FE7CC5">
        <w:tab/>
        <w:t xml:space="preserve">Sperotto F, Cuffaro G, Brachi S, Seguso M, Zulian F. Prevalence of antinuclear antibodies in schoolchildren during puberty and possible relationship with musculoskeletal pain: a longitudinal study. </w:t>
      </w:r>
      <w:r w:rsidR="00212E31">
        <w:t>J Rheumatol</w:t>
      </w:r>
      <w:r w:rsidRPr="00FE7CC5">
        <w:t>. 2014;41(7):1405-8.</w:t>
      </w:r>
    </w:p>
    <w:p w:rsidR="003D11BA" w:rsidRPr="00605638" w:rsidRDefault="003D11BA" w:rsidP="00212E31">
      <w:pPr>
        <w:pStyle w:val="EndNoteBibliography"/>
        <w:spacing w:after="0"/>
        <w:rPr>
          <w:lang w:val="fr-FR"/>
        </w:rPr>
      </w:pPr>
      <w:r w:rsidRPr="00FE7CC5">
        <w:t>33.</w:t>
      </w:r>
      <w:r w:rsidRPr="00FE7CC5">
        <w:tab/>
        <w:t xml:space="preserve">Hilario MO, Len CA, Roja SC, Terreri MT, Almeida G, Andrade LE. Frequency of antinuclear antibodies in healthy children and adolescents. </w:t>
      </w:r>
      <w:r w:rsidR="003638A5" w:rsidRPr="00605638">
        <w:rPr>
          <w:lang w:val="fr-FR"/>
        </w:rPr>
        <w:t>Clin Pediatr (Phila)</w:t>
      </w:r>
      <w:r w:rsidRPr="00605638">
        <w:rPr>
          <w:lang w:val="fr-FR"/>
        </w:rPr>
        <w:t xml:space="preserve"> 2004;43(7):637-42.</w:t>
      </w:r>
    </w:p>
    <w:p w:rsidR="003D11BA" w:rsidRPr="00FE7CC5" w:rsidRDefault="003D11BA" w:rsidP="00212E31">
      <w:pPr>
        <w:pStyle w:val="EndNoteBibliography"/>
        <w:spacing w:after="0"/>
      </w:pPr>
      <w:r w:rsidRPr="00605638">
        <w:rPr>
          <w:lang w:val="fr-FR"/>
        </w:rPr>
        <w:t>34.</w:t>
      </w:r>
      <w:r w:rsidRPr="00605638">
        <w:rPr>
          <w:lang w:val="fr-FR"/>
        </w:rPr>
        <w:tab/>
        <w:t xml:space="preserve">Somers EC, Monrad SU, Warren JS, Solano M, Schnaas L, Hernandez-Avila M, et al. </w:t>
      </w:r>
      <w:r w:rsidRPr="00FE7CC5">
        <w:t xml:space="preserve">Antinuclear antibody prevalence in a general pediatric cohort from Mexico City: discordance between immunofluorescence and multiplex assays. </w:t>
      </w:r>
      <w:r w:rsidR="003638A5">
        <w:t>Clin Epidemiol</w:t>
      </w:r>
      <w:r w:rsidRPr="00FE7CC5">
        <w:t>. 2017;9:1-8.</w:t>
      </w:r>
    </w:p>
    <w:p w:rsidR="003D11BA" w:rsidRPr="00FE7CC5" w:rsidRDefault="003D11BA" w:rsidP="00212E31">
      <w:pPr>
        <w:pStyle w:val="EndNoteBibliography"/>
        <w:spacing w:after="0"/>
      </w:pPr>
      <w:r w:rsidRPr="00FE7CC5">
        <w:t>35.</w:t>
      </w:r>
      <w:r w:rsidRPr="00FE7CC5">
        <w:tab/>
        <w:t xml:space="preserve">Wananukul S, Voramethkul W, Kaewopas Y, Hanvivatvong O. Prevalence of positive antinuclear antibodies in healthy children. </w:t>
      </w:r>
      <w:r w:rsidR="003638A5">
        <w:t>Asian Pac J Allergy Immunol</w:t>
      </w:r>
      <w:r w:rsidRPr="00FE7CC5">
        <w:t>. 2005;23(2-3):153-7.</w:t>
      </w:r>
    </w:p>
    <w:p w:rsidR="003D11BA" w:rsidRPr="00FE7CC5" w:rsidRDefault="003D11BA" w:rsidP="00212E31">
      <w:pPr>
        <w:pStyle w:val="EndNoteBibliography"/>
        <w:spacing w:after="0"/>
      </w:pPr>
      <w:r w:rsidRPr="00FE7CC5">
        <w:t>36.</w:t>
      </w:r>
      <w:r w:rsidRPr="00FE7CC5">
        <w:tab/>
        <w:t xml:space="preserve">Arroyave CM, Giambrone MJ, Rich KC, Walaszek M. The frequency of antinuclear antibody (ANA) in children by use of mouse kidney (MK) and human epithelial cells (HEp-2) as substrates. </w:t>
      </w:r>
      <w:r w:rsidR="003638A5">
        <w:t>J Allergy Clin Immunol</w:t>
      </w:r>
      <w:r w:rsidRPr="00FE7CC5">
        <w:t>. 1988;82(5 Pt 1):741-4.</w:t>
      </w:r>
    </w:p>
    <w:p w:rsidR="003D11BA" w:rsidRPr="00FE7CC5" w:rsidRDefault="003D11BA" w:rsidP="00212E31">
      <w:pPr>
        <w:pStyle w:val="EndNoteBibliography"/>
        <w:spacing w:after="0"/>
      </w:pPr>
      <w:r w:rsidRPr="00FE7CC5">
        <w:lastRenderedPageBreak/>
        <w:t>37.</w:t>
      </w:r>
      <w:r w:rsidRPr="00FE7CC5">
        <w:tab/>
        <w:t xml:space="preserve">Damoiseaux J, Vulsteke JB, Tseng CW, Platteel ACM, Piette Y, Shovman O, et al. Autoantibodies in idiopathic inflammatory myopathies: Clinical associations and laboratory evaluation by mono- and multispecific immunoassays. </w:t>
      </w:r>
      <w:r w:rsidR="00C42DD9">
        <w:t>Autoimmun Rev</w:t>
      </w:r>
      <w:r w:rsidRPr="00FE7CC5">
        <w:t>. 2019;18(3):293-305.</w:t>
      </w:r>
    </w:p>
    <w:p w:rsidR="003D11BA" w:rsidRPr="00605638" w:rsidRDefault="003D11BA" w:rsidP="00212E31">
      <w:pPr>
        <w:pStyle w:val="EndNoteBibliography"/>
        <w:spacing w:after="0"/>
        <w:rPr>
          <w:lang w:val="fr-FR"/>
        </w:rPr>
      </w:pPr>
      <w:r w:rsidRPr="00FE7CC5">
        <w:t>38.</w:t>
      </w:r>
      <w:r w:rsidRPr="00FE7CC5">
        <w:tab/>
        <w:t xml:space="preserve">Bossuyt X, Claessens J, Belmondo T, De Langhe E, Westhovens R, Poesen K, et al. Harmonization of clinical interpretation of antinuclear antibody test results by solid phase assay and by indirect immunofluorescence through likelihood ratios. </w:t>
      </w:r>
      <w:r w:rsidR="00C42DD9" w:rsidRPr="00605638">
        <w:rPr>
          <w:lang w:val="fr-FR"/>
        </w:rPr>
        <w:t>Autoimmun Rev</w:t>
      </w:r>
      <w:r w:rsidRPr="00605638">
        <w:rPr>
          <w:lang w:val="fr-FR"/>
        </w:rPr>
        <w:t>. 2019;18(11):102386.</w:t>
      </w:r>
    </w:p>
    <w:p w:rsidR="003D11BA" w:rsidRPr="00FE7CC5" w:rsidRDefault="003D11BA" w:rsidP="00212E31">
      <w:pPr>
        <w:pStyle w:val="EndNoteBibliography"/>
        <w:spacing w:after="0"/>
      </w:pPr>
      <w:r w:rsidRPr="00605638">
        <w:rPr>
          <w:lang w:val="fr-FR"/>
        </w:rPr>
        <w:t>39.</w:t>
      </w:r>
      <w:r w:rsidRPr="00605638">
        <w:rPr>
          <w:lang w:val="fr-FR"/>
        </w:rPr>
        <w:tab/>
        <w:t xml:space="preserve">von Muhlen CA, Garcia-De La Torre I, Infantino M, Damoiseaux J, Andrade LEC, Carballo OG, et al. </w:t>
      </w:r>
      <w:r w:rsidRPr="00FE7CC5">
        <w:t>How to report the antinuclear antibodies (anti-cell antibodies) test on HEp-2 cells: guidelines from the ICAP initiative. Immunol</w:t>
      </w:r>
      <w:r w:rsidR="003638A5">
        <w:t xml:space="preserve"> Res</w:t>
      </w:r>
      <w:r w:rsidRPr="00FE7CC5">
        <w:t>. 2021.</w:t>
      </w:r>
    </w:p>
    <w:p w:rsidR="003D11BA" w:rsidRPr="00FE7CC5" w:rsidRDefault="003D11BA" w:rsidP="00212E31">
      <w:pPr>
        <w:pStyle w:val="EndNoteBibliography"/>
        <w:spacing w:after="0"/>
      </w:pPr>
      <w:r w:rsidRPr="00FE7CC5">
        <w:t>40.</w:t>
      </w:r>
      <w:r w:rsidRPr="00FE7CC5">
        <w:tab/>
      </w:r>
      <w:r w:rsidR="003638A5" w:rsidRPr="00FE7CC5">
        <w:t>Clinical and Laboratory Standards Institute</w:t>
      </w:r>
      <w:r w:rsidR="003638A5">
        <w:t>.</w:t>
      </w:r>
      <w:r w:rsidR="003638A5" w:rsidRPr="00FE7CC5">
        <w:t xml:space="preserve"> </w:t>
      </w:r>
      <w:r w:rsidRPr="00FE7CC5">
        <w:t>CLSI I/LA2-A. Quality Assurance for the Indirect Immunofluorescence Test for Autoantibodies to Nuclear Antigen (IF-ANA). Approved Guideline. USA:</w:t>
      </w:r>
      <w:r w:rsidR="003638A5">
        <w:t>CLSI;</w:t>
      </w:r>
      <w:r w:rsidRPr="00FE7CC5">
        <w:t xml:space="preserve"> 1996.</w:t>
      </w:r>
    </w:p>
    <w:p w:rsidR="003D11BA" w:rsidRPr="00FE7CC5" w:rsidRDefault="003D11BA" w:rsidP="00212E31">
      <w:pPr>
        <w:pStyle w:val="EndNoteBibliography"/>
        <w:spacing w:after="0"/>
      </w:pPr>
      <w:r w:rsidRPr="00FE7CC5">
        <w:t>41.</w:t>
      </w:r>
      <w:r w:rsidRPr="00FE7CC5">
        <w:tab/>
      </w:r>
      <w:r w:rsidR="003638A5" w:rsidRPr="00FE7CC5">
        <w:t>Clinical and Laboratory Standards Institute</w:t>
      </w:r>
      <w:r w:rsidR="003638A5">
        <w:t>.</w:t>
      </w:r>
      <w:r w:rsidR="003638A5" w:rsidRPr="00FE7CC5">
        <w:t xml:space="preserve"> </w:t>
      </w:r>
      <w:r w:rsidRPr="00FE7CC5">
        <w:t xml:space="preserve">CLSI I/LA02-A2.  Quality Assurance of Laboratory Tests for Autoantibodies to Nuclear Antigens: (1) Indirect fluorescence assay for microscopy and (2) microtiter enzyme immunoassay methods. Wayne, PA, USA: </w:t>
      </w:r>
      <w:r w:rsidR="003638A5">
        <w:t>CLSI</w:t>
      </w:r>
      <w:r w:rsidRPr="00FE7CC5">
        <w:t>; 2006.</w:t>
      </w:r>
    </w:p>
    <w:p w:rsidR="003D11BA" w:rsidRPr="00FE7CC5" w:rsidRDefault="003D11BA" w:rsidP="00212E31">
      <w:pPr>
        <w:pStyle w:val="EndNoteBibliography"/>
        <w:spacing w:after="0"/>
      </w:pPr>
      <w:r w:rsidRPr="00FE7CC5">
        <w:t>42.</w:t>
      </w:r>
      <w:r w:rsidRPr="00FE7CC5">
        <w:tab/>
        <w:t xml:space="preserve">Goodwin JS, Searles RP, Tung KS. Immunological responses of healthy elderly population. </w:t>
      </w:r>
      <w:r w:rsidR="003638A5">
        <w:t>Clin Exp Immunol</w:t>
      </w:r>
      <w:r w:rsidRPr="00FE7CC5">
        <w:t>. 1982;48(2):403-10.</w:t>
      </w:r>
    </w:p>
    <w:p w:rsidR="003D11BA" w:rsidRPr="00FE7CC5" w:rsidRDefault="003D11BA" w:rsidP="00212E31">
      <w:pPr>
        <w:pStyle w:val="EndNoteBibliography"/>
        <w:spacing w:after="0"/>
      </w:pPr>
      <w:r w:rsidRPr="00FE7CC5">
        <w:t>43.</w:t>
      </w:r>
      <w:r w:rsidRPr="00FE7CC5">
        <w:tab/>
        <w:t xml:space="preserve">Arnaud L, Fagot JP, Mathian A, Paita M, Fagot-Campagna A, Amoura Z. Prevalence and incidence of systemic lupus erythematosus in France: a 2010 nation-wide population-based study. </w:t>
      </w:r>
      <w:r w:rsidR="00C42DD9">
        <w:t>Autoimmun Rev</w:t>
      </w:r>
      <w:r w:rsidRPr="00FE7CC5">
        <w:t>. 2014;13(11):1082-9.</w:t>
      </w:r>
    </w:p>
    <w:p w:rsidR="003D11BA" w:rsidRPr="00FE7CC5" w:rsidRDefault="003D11BA" w:rsidP="00212E31">
      <w:pPr>
        <w:pStyle w:val="EndNoteBibliography"/>
        <w:spacing w:after="0"/>
      </w:pPr>
      <w:r w:rsidRPr="00FE7CC5">
        <w:t>44.</w:t>
      </w:r>
      <w:r w:rsidRPr="00FE7CC5">
        <w:tab/>
        <w:t>Svensson J, Arkema EV, Lundberg IE, Holmqvist M. Incidence and prevalence of idiopathic inflammatory myopathies in Sweden: a nationwide population-based study. Rheumatology (Oxford, England). 2017;56(5):802-10.</w:t>
      </w:r>
    </w:p>
    <w:p w:rsidR="003D11BA" w:rsidRPr="00FE7CC5" w:rsidRDefault="003D11BA" w:rsidP="00212E31">
      <w:pPr>
        <w:pStyle w:val="EndNoteBibliography"/>
        <w:spacing w:after="0"/>
      </w:pPr>
      <w:r w:rsidRPr="00FE7CC5">
        <w:t>45.</w:t>
      </w:r>
      <w:r w:rsidRPr="00FE7CC5">
        <w:tab/>
        <w:t xml:space="preserve">Royle JG, Lanyon PC, Grainge MJ, Abhishek A, Pearce FA. The incidence, prevalence, and survival of systemic sclerosis in the UK Clinical Practice Research Datalink. </w:t>
      </w:r>
      <w:r w:rsidR="0008320C">
        <w:t>Clin Rheumatol</w:t>
      </w:r>
      <w:r w:rsidRPr="00FE7CC5">
        <w:t>. 2018;37(8):2103-11.</w:t>
      </w:r>
    </w:p>
    <w:p w:rsidR="003D11BA" w:rsidRPr="00FE7CC5" w:rsidRDefault="003D11BA" w:rsidP="00212E31">
      <w:pPr>
        <w:pStyle w:val="EndNoteBibliography"/>
        <w:spacing w:after="0"/>
      </w:pPr>
      <w:r w:rsidRPr="00FE7CC5">
        <w:t>46.</w:t>
      </w:r>
      <w:r w:rsidRPr="00FE7CC5">
        <w:tab/>
        <w:t>Thierry S, Fautrel B, Lemelle I, Guillemin F. Prevalence and incidence of juvenile idiopathic arthritis: a systematic review. Joint bone spine. 2014;81(2):112-7.</w:t>
      </w:r>
    </w:p>
    <w:p w:rsidR="003D11BA" w:rsidRPr="00FE7CC5" w:rsidRDefault="003D11BA" w:rsidP="00212E31">
      <w:pPr>
        <w:pStyle w:val="EndNoteBibliography"/>
        <w:spacing w:after="0"/>
      </w:pPr>
      <w:r w:rsidRPr="00FE7CC5">
        <w:t>47.</w:t>
      </w:r>
      <w:r w:rsidRPr="00FE7CC5">
        <w:tab/>
        <w:t xml:space="preserve">Willems P, De Langhe E, Westhovens R, Vanderschueren S, Blockmans D, Bossuyt X. Antinuclear antibody as entry criterion for classification of systemic lupus erythematosus: pitfalls and opportunities. </w:t>
      </w:r>
      <w:r w:rsidR="001B71E0">
        <w:t>Ann Rheum Dis</w:t>
      </w:r>
      <w:r w:rsidRPr="00FE7CC5">
        <w:t>. 2019;78(8):e76.</w:t>
      </w:r>
    </w:p>
    <w:p w:rsidR="003D11BA" w:rsidRPr="003D11BA" w:rsidRDefault="003D11BA" w:rsidP="00212E31">
      <w:pPr>
        <w:pStyle w:val="EndNoteBibliography"/>
        <w:spacing w:after="0"/>
        <w:rPr>
          <w:lang w:val="nl-BE"/>
        </w:rPr>
      </w:pPr>
      <w:r w:rsidRPr="00FE7CC5">
        <w:t>48.</w:t>
      </w:r>
      <w:r w:rsidRPr="00FE7CC5">
        <w:tab/>
        <w:t xml:space="preserve">Bossuyt X, Fierz W, Meroni P. Correspondence on “European League Against Rheumatism (EULAR)/American College of Rheumatology (ACR) SLE classification criteria item performance” by “Aringer M. et al.". </w:t>
      </w:r>
      <w:r w:rsidRPr="003D11BA">
        <w:rPr>
          <w:lang w:val="nl-BE"/>
        </w:rPr>
        <w:t>Ann Rheum Dis.</w:t>
      </w:r>
      <w:r w:rsidRPr="00CF1EE6">
        <w:rPr>
          <w:color w:val="BFBFBF" w:themeColor="background1" w:themeShade="BF"/>
          <w:lang w:val="nl-BE"/>
        </w:rPr>
        <w:t>In press.</w:t>
      </w:r>
    </w:p>
    <w:p w:rsidR="003D11BA" w:rsidRPr="00FE7CC5" w:rsidRDefault="003D11BA" w:rsidP="00212E31">
      <w:pPr>
        <w:pStyle w:val="EndNoteBibliography"/>
        <w:spacing w:after="0"/>
      </w:pPr>
      <w:r w:rsidRPr="003D11BA">
        <w:rPr>
          <w:lang w:val="nl-BE"/>
        </w:rPr>
        <w:t>49.</w:t>
      </w:r>
      <w:r w:rsidRPr="003D11BA">
        <w:rPr>
          <w:lang w:val="nl-BE"/>
        </w:rPr>
        <w:tab/>
        <w:t xml:space="preserve">Vulsteke JB, Van Hoovels L, Willems P, Vander Cruyssen B, Vanderschueren S, Westhovens R, et al. </w:t>
      </w:r>
      <w:r w:rsidRPr="00FE7CC5">
        <w:t xml:space="preserve">Titre-specific positive predictive value of antinuclear antibody patterns. </w:t>
      </w:r>
      <w:r w:rsidR="001B71E0">
        <w:t>Ann Rheum Dis</w:t>
      </w:r>
      <w:r w:rsidRPr="00FE7CC5">
        <w:t>. 2019.</w:t>
      </w:r>
    </w:p>
    <w:p w:rsidR="003D11BA" w:rsidRPr="00FE7CC5" w:rsidRDefault="003D11BA" w:rsidP="00212E31">
      <w:pPr>
        <w:pStyle w:val="EndNoteBibliography"/>
        <w:spacing w:after="0"/>
      </w:pPr>
      <w:r w:rsidRPr="00FE7CC5">
        <w:t>50.</w:t>
      </w:r>
      <w:r w:rsidRPr="00FE7CC5">
        <w:tab/>
        <w:t xml:space="preserve">Cheng CF, Lan TY, Shih MC, Li KJ. Monospecific anti-DFS70 antibodies are moderately helpful in excluding ANA-associated rheumatic disease in patients presenting with a dense fine speckled pattern - A systematic review and meta-analysis of diagnostic test accuracy. </w:t>
      </w:r>
      <w:r w:rsidR="00C42DD9">
        <w:t>Autoimmun Rev</w:t>
      </w:r>
      <w:r w:rsidRPr="00FE7CC5">
        <w:t>. 2020;19(10):102637.</w:t>
      </w:r>
    </w:p>
    <w:p w:rsidR="003D11BA" w:rsidRPr="00FE7CC5" w:rsidRDefault="003D11BA" w:rsidP="00212E31">
      <w:pPr>
        <w:pStyle w:val="EndNoteBibliography"/>
        <w:spacing w:after="0"/>
      </w:pPr>
      <w:r w:rsidRPr="00FE7CC5">
        <w:t>51.</w:t>
      </w:r>
      <w:r w:rsidRPr="00FE7CC5">
        <w:tab/>
        <w:t xml:space="preserve">Vermeersch P, Bossuyt X. Comparative analysis of different approaches to report diagnostic accuracy. </w:t>
      </w:r>
      <w:r w:rsidR="0008320C">
        <w:t>Arch Intern Med</w:t>
      </w:r>
      <w:r w:rsidRPr="00FE7CC5">
        <w:t>. 2010;170(8):734-5.</w:t>
      </w:r>
    </w:p>
    <w:p w:rsidR="003D11BA" w:rsidRPr="00FE7CC5" w:rsidRDefault="003D11BA" w:rsidP="00212E31">
      <w:pPr>
        <w:pStyle w:val="EndNoteBibliography"/>
        <w:spacing w:after="0"/>
      </w:pPr>
      <w:r w:rsidRPr="00FE7CC5">
        <w:t>52.</w:t>
      </w:r>
      <w:r w:rsidRPr="00FE7CC5">
        <w:tab/>
        <w:t xml:space="preserve">Bossuyt X. Clinical performance characteristics of a laboratory test. A practical approach in the autoimmune laboratory. </w:t>
      </w:r>
      <w:r w:rsidR="00C42DD9">
        <w:t>Autoimmun Rev</w:t>
      </w:r>
      <w:r w:rsidRPr="00FE7CC5">
        <w:t>. 2009;8(7):543-8.</w:t>
      </w:r>
    </w:p>
    <w:p w:rsidR="003D11BA" w:rsidRPr="00FE7CC5" w:rsidRDefault="003D11BA" w:rsidP="00212E31">
      <w:pPr>
        <w:pStyle w:val="EndNoteBibliography"/>
        <w:spacing w:after="0"/>
      </w:pPr>
      <w:r w:rsidRPr="00FE7CC5">
        <w:t>53.</w:t>
      </w:r>
      <w:r w:rsidRPr="00FE7CC5">
        <w:tab/>
        <w:t xml:space="preserve">Bossuyt X, Fierz W, Meroni PL. Correspondence on "European League Against Rheumatism (EULAR)/American College of Rheumatology (ACR) SLE classification criteria item performance" by Aringer et al. </w:t>
      </w:r>
      <w:r w:rsidR="001B71E0">
        <w:t>Ann Rheum Dis</w:t>
      </w:r>
      <w:r w:rsidRPr="00FE7CC5">
        <w:t>. 2021.</w:t>
      </w:r>
    </w:p>
    <w:p w:rsidR="003D11BA" w:rsidRPr="00FE7CC5" w:rsidRDefault="003D11BA" w:rsidP="00212E31">
      <w:pPr>
        <w:pStyle w:val="EndNoteBibliography"/>
        <w:spacing w:after="0"/>
      </w:pPr>
      <w:r w:rsidRPr="00FE7CC5">
        <w:t>54.</w:t>
      </w:r>
      <w:r w:rsidRPr="00FE7CC5">
        <w:tab/>
        <w:t xml:space="preserve">Malleson PN, Sailer M, Mackinnon MJ. Usefulness of antinuclear antibody testing to screen for rheumatic diseases. </w:t>
      </w:r>
      <w:r w:rsidR="0008320C">
        <w:t>Arch Dis Child</w:t>
      </w:r>
      <w:r w:rsidRPr="00FE7CC5">
        <w:t>. 1997;77(4):299-304.</w:t>
      </w:r>
    </w:p>
    <w:p w:rsidR="003D11BA" w:rsidRPr="00FE7CC5" w:rsidRDefault="003D11BA" w:rsidP="00212E31">
      <w:pPr>
        <w:pStyle w:val="EndNoteBibliography"/>
        <w:spacing w:after="0"/>
      </w:pPr>
      <w:r w:rsidRPr="00FE7CC5">
        <w:t>55.</w:t>
      </w:r>
      <w:r w:rsidRPr="00FE7CC5">
        <w:tab/>
        <w:t xml:space="preserve">McGhee JL, Kickingbird LM, Jarvis JN. Clinical utility of antinuclear antibody tests in children. </w:t>
      </w:r>
      <w:r w:rsidR="0008320C">
        <w:t>BMC Pediatr</w:t>
      </w:r>
      <w:r w:rsidRPr="00FE7CC5">
        <w:t>. 2004;4:13.</w:t>
      </w:r>
    </w:p>
    <w:p w:rsidR="003D11BA" w:rsidRPr="00605638" w:rsidRDefault="003D11BA" w:rsidP="00212E31">
      <w:pPr>
        <w:pStyle w:val="EndNoteBibliography"/>
        <w:spacing w:after="0"/>
        <w:rPr>
          <w:lang w:val="fr-FR"/>
        </w:rPr>
      </w:pPr>
      <w:r w:rsidRPr="00FE7CC5">
        <w:lastRenderedPageBreak/>
        <w:t>56.</w:t>
      </w:r>
      <w:r w:rsidRPr="00FE7CC5">
        <w:tab/>
        <w:t xml:space="preserve">Chan EK, Damoiseaux J, Carballo OG, Conrad K, de Melo Cruvinel W, Francescantonio PL, et al. Report of the First International Consensus on Standardized Nomenclature of Antinuclear Antibody HEp-2 Cell Patterns 2014-2015. </w:t>
      </w:r>
      <w:r w:rsidR="0008320C" w:rsidRPr="00605638">
        <w:rPr>
          <w:lang w:val="fr-FR"/>
        </w:rPr>
        <w:t>Front Immunol</w:t>
      </w:r>
      <w:r w:rsidRPr="00605638">
        <w:rPr>
          <w:lang w:val="fr-FR"/>
        </w:rPr>
        <w:t>. 2015;6:412.</w:t>
      </w:r>
    </w:p>
    <w:p w:rsidR="003D11BA" w:rsidRPr="00605638" w:rsidRDefault="003D11BA" w:rsidP="00212E31">
      <w:pPr>
        <w:pStyle w:val="EndNoteBibliography"/>
        <w:spacing w:after="0"/>
        <w:rPr>
          <w:lang w:val="fr-FR"/>
        </w:rPr>
      </w:pPr>
      <w:r w:rsidRPr="00605638">
        <w:rPr>
          <w:lang w:val="fr-FR"/>
        </w:rPr>
        <w:t>57.</w:t>
      </w:r>
      <w:r w:rsidRPr="00605638">
        <w:rPr>
          <w:lang w:val="fr-FR"/>
        </w:rPr>
        <w:tab/>
        <w:t xml:space="preserve">Damoiseaux J, Andrade LEC, Carballo OG, Conrad K, Francescantonio PLC, Fritzler MJ, et al. Clinical relevance of HEp-2 indirect immunofluorescent patterns: the International Consensus on ANA patterns (ICAP) perspective. </w:t>
      </w:r>
      <w:r w:rsidR="001B71E0" w:rsidRPr="00605638">
        <w:rPr>
          <w:lang w:val="fr-FR"/>
        </w:rPr>
        <w:t>Ann Rheum Dis</w:t>
      </w:r>
      <w:r w:rsidRPr="00605638">
        <w:rPr>
          <w:lang w:val="fr-FR"/>
        </w:rPr>
        <w:t>. 2019;78(7):879-89.</w:t>
      </w:r>
    </w:p>
    <w:p w:rsidR="003D11BA" w:rsidRPr="00605638" w:rsidRDefault="003D11BA" w:rsidP="00212E31">
      <w:pPr>
        <w:pStyle w:val="EndNoteBibliography"/>
        <w:spacing w:after="0"/>
        <w:rPr>
          <w:lang w:val="nl-BE"/>
        </w:rPr>
      </w:pPr>
      <w:r w:rsidRPr="00605638">
        <w:rPr>
          <w:lang w:val="fr-FR"/>
        </w:rPr>
        <w:t>58.</w:t>
      </w:r>
      <w:r w:rsidRPr="00605638">
        <w:rPr>
          <w:lang w:val="fr-FR"/>
        </w:rPr>
        <w:tab/>
        <w:t xml:space="preserve">Cruvinel WM, Andrade LEC, von Muhlen CA, Dellavance A, Ximenes AC, Bichara CD, et al. </w:t>
      </w:r>
      <w:r w:rsidRPr="00FE7CC5">
        <w:t xml:space="preserve">V Brazilian consensus guidelines for detection of anti-cell autoantibodies on hep-2 cells. </w:t>
      </w:r>
      <w:r w:rsidR="0008320C" w:rsidRPr="00605638">
        <w:rPr>
          <w:lang w:val="nl-BE"/>
        </w:rPr>
        <w:t>Adv Rheumatol</w:t>
      </w:r>
      <w:r w:rsidRPr="00605638">
        <w:rPr>
          <w:lang w:val="nl-BE"/>
        </w:rPr>
        <w:t>. 2019;59(1):28.</w:t>
      </w:r>
    </w:p>
    <w:p w:rsidR="003D11BA" w:rsidRPr="00FE7CC5" w:rsidRDefault="003D11BA" w:rsidP="00212E31">
      <w:pPr>
        <w:pStyle w:val="EndNoteBibliography"/>
        <w:spacing w:after="0"/>
      </w:pPr>
      <w:r w:rsidRPr="00605638">
        <w:rPr>
          <w:lang w:val="nl-BE"/>
        </w:rPr>
        <w:t>59.</w:t>
      </w:r>
      <w:r w:rsidRPr="00605638">
        <w:rPr>
          <w:lang w:val="nl-BE"/>
        </w:rPr>
        <w:tab/>
        <w:t xml:space="preserve">Van Hoovels L, Broeders S, Chan EKL, Andrade L, de Melo Cruvinel W, Damoiseaux J, et al. </w:t>
      </w:r>
      <w:r w:rsidRPr="00FE7CC5">
        <w:t xml:space="preserve">Current laboratory and clinical practices in reporting and interpreting anti-nuclear antibody indirect immunofluorescence (ANA IIF) patterns: results of an international survey. </w:t>
      </w:r>
      <w:r w:rsidR="0008320C">
        <w:t>Auto Immun Highlights</w:t>
      </w:r>
      <w:r w:rsidRPr="00FE7CC5">
        <w:t>. 2020;11(1):17.</w:t>
      </w:r>
    </w:p>
    <w:p w:rsidR="003D11BA" w:rsidRPr="00FE7CC5" w:rsidRDefault="003D11BA" w:rsidP="00212E31">
      <w:pPr>
        <w:pStyle w:val="EndNoteBibliography"/>
        <w:spacing w:after="0"/>
      </w:pPr>
      <w:r w:rsidRPr="00FE7CC5">
        <w:t>60.</w:t>
      </w:r>
      <w:r w:rsidRPr="00FE7CC5">
        <w:tab/>
        <w:t xml:space="preserve">Vermeersch P, Van den Bergh K, Blockmans D, Westhovens R, Bossuyt X. Anti-Golgi autoantibodies are not clinically associated with systemic autoimmune diseases. </w:t>
      </w:r>
      <w:r w:rsidR="001B71E0">
        <w:t>Ann Rheum Dis</w:t>
      </w:r>
      <w:r w:rsidRPr="00FE7CC5">
        <w:t>. 2011;70(1):234-5.</w:t>
      </w:r>
    </w:p>
    <w:p w:rsidR="003D11BA" w:rsidRPr="00605638" w:rsidRDefault="003D11BA" w:rsidP="00212E31">
      <w:pPr>
        <w:pStyle w:val="EndNoteBibliography"/>
        <w:spacing w:after="0"/>
        <w:rPr>
          <w:lang w:val="fr-FR"/>
        </w:rPr>
      </w:pPr>
      <w:r w:rsidRPr="00FE7CC5">
        <w:t>61.</w:t>
      </w:r>
      <w:r w:rsidRPr="00FE7CC5">
        <w:tab/>
        <w:t xml:space="preserve">Vermeersch P, Bossuyt X. Prevalence and clinical significance of rare antinuclear antibody patterns. </w:t>
      </w:r>
      <w:r w:rsidR="00C42DD9" w:rsidRPr="00605638">
        <w:rPr>
          <w:lang w:val="fr-FR"/>
        </w:rPr>
        <w:t>Autoimmun Rev</w:t>
      </w:r>
      <w:r w:rsidRPr="00605638">
        <w:rPr>
          <w:lang w:val="fr-FR"/>
        </w:rPr>
        <w:t>. 2013;12(10):998-1003.</w:t>
      </w:r>
    </w:p>
    <w:p w:rsidR="003D11BA" w:rsidRPr="003D11BA" w:rsidRDefault="003D11BA" w:rsidP="00212E31">
      <w:pPr>
        <w:pStyle w:val="EndNoteBibliography"/>
        <w:spacing w:after="0"/>
        <w:rPr>
          <w:lang w:val="nl-BE"/>
        </w:rPr>
      </w:pPr>
      <w:r w:rsidRPr="00605638">
        <w:rPr>
          <w:lang w:val="fr-FR"/>
        </w:rPr>
        <w:t>62.</w:t>
      </w:r>
      <w:r w:rsidRPr="00605638">
        <w:rPr>
          <w:lang w:val="fr-FR"/>
        </w:rPr>
        <w:tab/>
        <w:t xml:space="preserve">Irure-Ventura J, Rodriguez C, Vergara-Prieto E, Vargas ML, Quirant B, Jurado A, et al. </w:t>
      </w:r>
      <w:r w:rsidRPr="00FE7CC5">
        <w:t xml:space="preserve">Rare immunofluorescence patterns of autoantibodies on HEp-2 cells defined by ICAP identify different autoimmune diseases in the absence of associated specificities: a Spanish multicentre study. </w:t>
      </w:r>
      <w:r w:rsidRPr="003D11BA">
        <w:rPr>
          <w:lang w:val="nl-BE"/>
        </w:rPr>
        <w:t>Rheumatology (Oxford, England). 2021;60(8):3904-12.</w:t>
      </w:r>
    </w:p>
    <w:p w:rsidR="003D11BA" w:rsidRPr="00605638" w:rsidRDefault="003D11BA" w:rsidP="00212E31">
      <w:pPr>
        <w:pStyle w:val="EndNoteBibliography"/>
        <w:spacing w:after="0"/>
        <w:rPr>
          <w:lang w:val="fr-FR"/>
        </w:rPr>
      </w:pPr>
      <w:r w:rsidRPr="003D11BA">
        <w:rPr>
          <w:lang w:val="nl-BE"/>
        </w:rPr>
        <w:t>63.</w:t>
      </w:r>
      <w:r w:rsidRPr="003D11BA">
        <w:rPr>
          <w:lang w:val="nl-BE"/>
        </w:rPr>
        <w:tab/>
        <w:t xml:space="preserve">Vermeersch P, De Beeck KO, Lauwerys BR, Van den Bergh K, Develter M, Marien G, et al. </w:t>
      </w:r>
      <w:r w:rsidRPr="00FE7CC5">
        <w:t xml:space="preserve">Antinuclear antibodies directed against proliferating cell nuclear antigen are not specifically associated with systemic lupus erythematosus. </w:t>
      </w:r>
      <w:r w:rsidR="001B71E0" w:rsidRPr="00605638">
        <w:rPr>
          <w:lang w:val="fr-FR"/>
        </w:rPr>
        <w:t>Ann Rheum Dis</w:t>
      </w:r>
      <w:r w:rsidRPr="00605638">
        <w:rPr>
          <w:lang w:val="fr-FR"/>
        </w:rPr>
        <w:t>. 2009;68(11):1791-3.</w:t>
      </w:r>
    </w:p>
    <w:p w:rsidR="003D11BA" w:rsidRPr="00FE7CC5" w:rsidRDefault="003D11BA" w:rsidP="00212E31">
      <w:pPr>
        <w:pStyle w:val="EndNoteBibliography"/>
        <w:spacing w:after="0"/>
      </w:pPr>
      <w:r w:rsidRPr="00605638">
        <w:rPr>
          <w:lang w:val="fr-FR"/>
        </w:rPr>
        <w:t>64.</w:t>
      </w:r>
      <w:r w:rsidRPr="00605638">
        <w:rPr>
          <w:lang w:val="fr-FR"/>
        </w:rPr>
        <w:tab/>
        <w:t xml:space="preserve">Dellavance A, Cruvinel W, Francescantonio P, Mangueira C, Drugowick I, Rodrigues S, et al. </w:t>
      </w:r>
      <w:r w:rsidRPr="00FE7CC5">
        <w:t>Variability in the recognition of distinctive immunofluorescence patterns in different brands of HEp-2 cell slides. . J Bras Patol Med Lab. 2013;49:182-90.</w:t>
      </w:r>
    </w:p>
    <w:p w:rsidR="003D11BA" w:rsidRPr="00FE7CC5" w:rsidRDefault="003D11BA" w:rsidP="00212E31">
      <w:pPr>
        <w:pStyle w:val="EndNoteBibliography"/>
        <w:spacing w:after="0"/>
      </w:pPr>
      <w:r w:rsidRPr="00FE7CC5">
        <w:t>65.</w:t>
      </w:r>
      <w:r w:rsidRPr="00FE7CC5">
        <w:tab/>
        <w:t xml:space="preserve">Bizzaro N, Tonutti E, Villalta D. Recognizing the dense fine speckled/lens epithelium-derived growth factor/p75 pattern on HEP-2 cells: not an easy task! Comment on the article by Mariz et al. </w:t>
      </w:r>
      <w:r w:rsidR="00C42DD9">
        <w:t xml:space="preserve">Arthritis Rheum </w:t>
      </w:r>
      <w:r w:rsidRPr="00FE7CC5">
        <w:t>. 2011;63(12):4036-7; author reply 7-8.</w:t>
      </w:r>
    </w:p>
    <w:p w:rsidR="003D11BA" w:rsidRPr="00FE7CC5" w:rsidRDefault="003D11BA" w:rsidP="00212E31">
      <w:pPr>
        <w:pStyle w:val="EndNoteBibliography"/>
        <w:spacing w:after="0"/>
      </w:pPr>
      <w:r w:rsidRPr="00FE7CC5">
        <w:t>66.</w:t>
      </w:r>
      <w:r w:rsidRPr="00FE7CC5">
        <w:tab/>
        <w:t xml:space="preserve">Bentow C, Fritzler MJ, Mummert E, Mahler M. Recognition of the dense fine speckled (DFS) pattern remains challenging: results from an international internet-based survey. </w:t>
      </w:r>
      <w:r w:rsidR="0008320C">
        <w:t>Auto Immun Highlights</w:t>
      </w:r>
      <w:r w:rsidRPr="00FE7CC5">
        <w:t>. 2016;7(1):8.</w:t>
      </w:r>
    </w:p>
    <w:p w:rsidR="003D11BA" w:rsidRPr="00605638" w:rsidRDefault="003D11BA" w:rsidP="00212E31">
      <w:pPr>
        <w:pStyle w:val="EndNoteBibliography"/>
        <w:spacing w:after="0"/>
        <w:rPr>
          <w:lang w:val="fr-FR"/>
        </w:rPr>
      </w:pPr>
      <w:r w:rsidRPr="00FE7CC5">
        <w:t>67.</w:t>
      </w:r>
      <w:r w:rsidRPr="00FE7CC5">
        <w:tab/>
        <w:t xml:space="preserve">Bonroy C, Schouwers S, Berth M, Stubbe M, Piette Y, Hoffman I, et al. The importance of detecting anti-DFS70 in routine clinical practice: comparison of different care settings. </w:t>
      </w:r>
      <w:r w:rsidR="001B71E0" w:rsidRPr="00605638">
        <w:rPr>
          <w:lang w:val="fr-FR"/>
        </w:rPr>
        <w:t>Clin Chem Lab Med</w:t>
      </w:r>
      <w:r w:rsidRPr="00605638">
        <w:rPr>
          <w:lang w:val="fr-FR"/>
        </w:rPr>
        <w:t>. 2018;56(7):1090-9.</w:t>
      </w:r>
    </w:p>
    <w:p w:rsidR="003D11BA" w:rsidRPr="00FE7CC5" w:rsidRDefault="003D11BA" w:rsidP="00212E31">
      <w:pPr>
        <w:pStyle w:val="EndNoteBibliography"/>
        <w:spacing w:after="0"/>
      </w:pPr>
      <w:r w:rsidRPr="00605638">
        <w:rPr>
          <w:lang w:val="fr-FR"/>
        </w:rPr>
        <w:t>68.</w:t>
      </w:r>
      <w:r w:rsidRPr="00605638">
        <w:rPr>
          <w:lang w:val="fr-FR"/>
        </w:rPr>
        <w:tab/>
        <w:t xml:space="preserve">Albesa R, Sachs U, Infantino M, Manfredi M, Benucci M, Baus Y, et al. </w:t>
      </w:r>
      <w:r w:rsidRPr="00FE7CC5">
        <w:t xml:space="preserve">Increased prevalence of anti-DFS70 antibodies in young females: experience from a large international multi-center study on blood donors. </w:t>
      </w:r>
      <w:r w:rsidR="001B71E0">
        <w:t>Clin Chem Lab Med</w:t>
      </w:r>
      <w:r w:rsidRPr="00FE7CC5">
        <w:t>. 2019;57(7):999-1005.</w:t>
      </w:r>
    </w:p>
    <w:p w:rsidR="003D11BA" w:rsidRPr="00FE7CC5" w:rsidRDefault="003D11BA" w:rsidP="00212E31">
      <w:pPr>
        <w:pStyle w:val="EndNoteBibliography"/>
        <w:spacing w:after="0"/>
      </w:pPr>
      <w:r w:rsidRPr="00FE7CC5">
        <w:t>69.</w:t>
      </w:r>
      <w:r w:rsidRPr="00FE7CC5">
        <w:tab/>
        <w:t xml:space="preserve">Andrade LEC, Klotz W, Herold M, Conrad K, Ronnelid J, Fritzler MJ, et al. International consensus on antinuclear antibody patterns: definition of the AC-29 pattern associated with antibodies to DNA topoisomerase I. </w:t>
      </w:r>
      <w:r w:rsidR="001B71E0">
        <w:t>Clin Chem Lab Med</w:t>
      </w:r>
      <w:r w:rsidRPr="00FE7CC5">
        <w:t>. 2018;56(10):1783-8.</w:t>
      </w:r>
    </w:p>
    <w:p w:rsidR="003D11BA" w:rsidRPr="00605638" w:rsidRDefault="003D11BA" w:rsidP="00212E31">
      <w:pPr>
        <w:pStyle w:val="EndNoteBibliography"/>
        <w:spacing w:after="0"/>
        <w:rPr>
          <w:lang w:val="fr-FR"/>
        </w:rPr>
      </w:pPr>
      <w:r w:rsidRPr="00FE7CC5">
        <w:t>70.</w:t>
      </w:r>
      <w:r w:rsidRPr="00FE7CC5">
        <w:tab/>
        <w:t xml:space="preserve">Lee LA. Cutaneous lupus in infancy and childhood. </w:t>
      </w:r>
      <w:r w:rsidRPr="00605638">
        <w:rPr>
          <w:lang w:val="fr-FR"/>
        </w:rPr>
        <w:t>Lupus. 2010;19(9):1112-7.</w:t>
      </w:r>
    </w:p>
    <w:p w:rsidR="003D11BA" w:rsidRPr="00FE7CC5" w:rsidRDefault="003D11BA" w:rsidP="00212E31">
      <w:pPr>
        <w:pStyle w:val="EndNoteBibliography"/>
        <w:spacing w:after="0"/>
      </w:pPr>
      <w:r w:rsidRPr="00605638">
        <w:rPr>
          <w:lang w:val="fr-FR"/>
        </w:rPr>
        <w:t>71.</w:t>
      </w:r>
      <w:r w:rsidRPr="00605638">
        <w:rPr>
          <w:lang w:val="fr-FR"/>
        </w:rPr>
        <w:tab/>
        <w:t xml:space="preserve">Damoiseaux J, Chan EK. </w:t>
      </w:r>
      <w:r w:rsidRPr="00FE7CC5">
        <w:t xml:space="preserve">Response to: 'The utility of the HEp-2000 antinuclear antibody substrate' by Lee et al. </w:t>
      </w:r>
      <w:r w:rsidR="001B71E0">
        <w:t>Ann Rheum Dis</w:t>
      </w:r>
      <w:r w:rsidRPr="00FE7CC5">
        <w:t>. 2020;79(6):e68.</w:t>
      </w:r>
    </w:p>
    <w:p w:rsidR="003D11BA" w:rsidRPr="00FE7CC5" w:rsidRDefault="003D11BA" w:rsidP="00212E31">
      <w:pPr>
        <w:pStyle w:val="EndNoteBibliography"/>
        <w:spacing w:after="0"/>
      </w:pPr>
      <w:r w:rsidRPr="00FE7CC5">
        <w:t>72.</w:t>
      </w:r>
      <w:r w:rsidRPr="00FE7CC5">
        <w:tab/>
        <w:t xml:space="preserve">Lee AYS, Beroukas D, Roberts-Thomson PJ. Utility of the HEp-2000 antinuclear antibody substrate. </w:t>
      </w:r>
      <w:r w:rsidR="001B71E0">
        <w:t>Ann Rheum Dis</w:t>
      </w:r>
      <w:r w:rsidRPr="00FE7CC5">
        <w:t>. 2020;79(6):e67.</w:t>
      </w:r>
    </w:p>
    <w:p w:rsidR="003D11BA" w:rsidRPr="00FE7CC5" w:rsidRDefault="003D11BA" w:rsidP="00212E31">
      <w:pPr>
        <w:pStyle w:val="EndNoteBibliography"/>
        <w:spacing w:after="0"/>
      </w:pPr>
      <w:r w:rsidRPr="00FE7CC5">
        <w:t>73.</w:t>
      </w:r>
      <w:r w:rsidRPr="00FE7CC5">
        <w:tab/>
        <w:t xml:space="preserve">Fritzler MJ, Hanson C, Miller J, Eystathioy T. Specificity of autoantibodies to SS-A/Ro on a transfected and overexpressed human 60 kDa Ro autoantigen substrate. </w:t>
      </w:r>
      <w:r w:rsidR="0008320C">
        <w:t>J Clin Lab Anal</w:t>
      </w:r>
      <w:r w:rsidRPr="00FE7CC5">
        <w:t xml:space="preserve"> 2002;16(2):103-8.</w:t>
      </w:r>
    </w:p>
    <w:p w:rsidR="003D11BA" w:rsidRPr="00FE7CC5" w:rsidRDefault="003D11BA" w:rsidP="00212E31">
      <w:pPr>
        <w:pStyle w:val="EndNoteBibliography"/>
        <w:spacing w:after="0"/>
      </w:pPr>
      <w:r w:rsidRPr="00FE7CC5">
        <w:lastRenderedPageBreak/>
        <w:t>74.</w:t>
      </w:r>
      <w:r w:rsidRPr="00FE7CC5">
        <w:tab/>
        <w:t xml:space="preserve">Keech CL, McCluskey J, Gordon TP. Transfection and overexpression of the human 60-kDa Ro/SS-A autoantigen in HEp-2 cells. </w:t>
      </w:r>
      <w:r w:rsidR="0008320C">
        <w:t>Clin Immunol Immunopathol</w:t>
      </w:r>
      <w:r w:rsidRPr="00FE7CC5">
        <w:t>. 1994;73(1):146-51.</w:t>
      </w:r>
    </w:p>
    <w:p w:rsidR="003D11BA" w:rsidRPr="00FE7CC5" w:rsidRDefault="003D11BA" w:rsidP="00212E31">
      <w:pPr>
        <w:pStyle w:val="EndNoteBibliography"/>
        <w:spacing w:after="0"/>
      </w:pPr>
      <w:r w:rsidRPr="00FE7CC5">
        <w:t>75.</w:t>
      </w:r>
      <w:r w:rsidRPr="00FE7CC5">
        <w:tab/>
        <w:t xml:space="preserve">Peene I, Van Ael W, Vandenbossche M, Vervaet T, Veys E, De Keyser F. Sensitivity of the HEp-2000 substrate for the detection of anti-SSA/Ro60 antibodies. </w:t>
      </w:r>
      <w:r w:rsidR="0008320C">
        <w:t>Clin Rheumatol</w:t>
      </w:r>
      <w:r w:rsidRPr="00FE7CC5">
        <w:t>. 2000;19(4):291-5.</w:t>
      </w:r>
    </w:p>
    <w:p w:rsidR="003D11BA" w:rsidRPr="00FE7CC5" w:rsidRDefault="003D11BA" w:rsidP="00212E31">
      <w:pPr>
        <w:pStyle w:val="EndNoteBibliography"/>
        <w:spacing w:after="0"/>
      </w:pPr>
      <w:r w:rsidRPr="00FE7CC5">
        <w:t>76.</w:t>
      </w:r>
      <w:r w:rsidRPr="00FE7CC5">
        <w:tab/>
        <w:t xml:space="preserve">Bossuyt X, Meurs L, Mewis A, Marien G, Blanckaert N. Screening for autoantibodies to SS-A/RO by indirect immunofluorescence using HEp-2000 cells. </w:t>
      </w:r>
      <w:r w:rsidR="0008320C">
        <w:t>Ann Clin Biochem</w:t>
      </w:r>
      <w:r w:rsidRPr="00FE7CC5">
        <w:t>. 2000;37 ( Pt 2):216-9.</w:t>
      </w:r>
    </w:p>
    <w:p w:rsidR="003D11BA" w:rsidRPr="00FE7CC5" w:rsidRDefault="003D11BA" w:rsidP="00212E31">
      <w:pPr>
        <w:pStyle w:val="EndNoteBibliography"/>
        <w:spacing w:after="0"/>
      </w:pPr>
      <w:r w:rsidRPr="00FE7CC5">
        <w:t>77.</w:t>
      </w:r>
      <w:r w:rsidRPr="00FE7CC5">
        <w:tab/>
        <w:t xml:space="preserve">Pollock W, Toh BH. Routine immunofluorescence detection of Ro/SS-A autoantibody using HEp-2 cells transfected with human 60 kDa Ro/SS-A. </w:t>
      </w:r>
      <w:r w:rsidR="0008320C">
        <w:t>J Clin Pathol</w:t>
      </w:r>
      <w:r w:rsidRPr="00FE7CC5">
        <w:t>. 1999;52(9):684-7.</w:t>
      </w:r>
    </w:p>
    <w:p w:rsidR="003D11BA" w:rsidRPr="00FE7CC5" w:rsidRDefault="003D11BA" w:rsidP="00212E31">
      <w:pPr>
        <w:pStyle w:val="EndNoteBibliography"/>
        <w:spacing w:after="0"/>
      </w:pPr>
      <w:r w:rsidRPr="00FE7CC5">
        <w:t>78.</w:t>
      </w:r>
      <w:r w:rsidRPr="00FE7CC5">
        <w:tab/>
        <w:t xml:space="preserve">Bossuyt X, Frans J, Hendrickx A, Godefridis G, Westhovens R, Marien G. Detection of anti-SSA antibodies by indirect immunofluorescence. </w:t>
      </w:r>
      <w:r w:rsidR="0008320C">
        <w:t>Clin Chem</w:t>
      </w:r>
      <w:r w:rsidRPr="00FE7CC5">
        <w:t>. 2004;50(12):2361-9.</w:t>
      </w:r>
    </w:p>
    <w:p w:rsidR="003D11BA" w:rsidRPr="00FE7CC5" w:rsidRDefault="003D11BA" w:rsidP="00212E31">
      <w:pPr>
        <w:pStyle w:val="EndNoteBibliography"/>
        <w:spacing w:after="0"/>
      </w:pPr>
      <w:r w:rsidRPr="00FE7CC5">
        <w:t>79.</w:t>
      </w:r>
      <w:r w:rsidRPr="00FE7CC5">
        <w:tab/>
        <w:t xml:space="preserve">Hoffman IE, Peene I, Veys EM, De Keyser F. Detection of specific antinuclear reactivities in patients with negative anti-nuclear antibody immunofluorescence screening tests. </w:t>
      </w:r>
      <w:r w:rsidR="0008320C">
        <w:t>Clin Chem</w:t>
      </w:r>
      <w:r w:rsidRPr="00FE7CC5">
        <w:t>. 2002;48(12):2171-6.</w:t>
      </w:r>
    </w:p>
    <w:p w:rsidR="003D11BA" w:rsidRPr="00FE7CC5" w:rsidRDefault="003D11BA" w:rsidP="00212E31">
      <w:pPr>
        <w:pStyle w:val="EndNoteBibliography"/>
        <w:spacing w:after="0"/>
      </w:pPr>
      <w:r w:rsidRPr="00FE7CC5">
        <w:t>80.</w:t>
      </w:r>
      <w:r w:rsidRPr="00FE7CC5">
        <w:tab/>
        <w:t xml:space="preserve">Bossuyt X, Luyckx A. Antibodies to extractable nuclear antigens in antinuclear antibody-negative samples. </w:t>
      </w:r>
      <w:r w:rsidR="0008320C">
        <w:t>Clin Chem</w:t>
      </w:r>
      <w:r w:rsidRPr="00FE7CC5">
        <w:t>. 2005;51(12):2426-7.</w:t>
      </w:r>
    </w:p>
    <w:p w:rsidR="003D11BA" w:rsidRPr="00FE7CC5" w:rsidRDefault="003D11BA" w:rsidP="00212E31">
      <w:pPr>
        <w:pStyle w:val="EndNoteBibliography"/>
        <w:spacing w:after="0"/>
      </w:pPr>
      <w:r w:rsidRPr="00FE7CC5">
        <w:t>81.</w:t>
      </w:r>
      <w:r w:rsidRPr="00FE7CC5">
        <w:tab/>
        <w:t xml:space="preserve">Kidd K, Cusi K, Mueller R, Goodner M, Boyes B, Hoy E. Detection and identification of significant ANAs in previously determined ANA negative samples. </w:t>
      </w:r>
      <w:r w:rsidR="00C754E2">
        <w:t>Clin Lab</w:t>
      </w:r>
      <w:r w:rsidRPr="00FE7CC5">
        <w:t>. 2005;51(9-10):517-21.</w:t>
      </w:r>
    </w:p>
    <w:p w:rsidR="003D11BA" w:rsidRPr="003D11BA" w:rsidRDefault="003D11BA" w:rsidP="00212E31">
      <w:pPr>
        <w:pStyle w:val="EndNoteBibliography"/>
        <w:spacing w:after="0"/>
        <w:rPr>
          <w:lang w:val="nl-BE"/>
        </w:rPr>
      </w:pPr>
      <w:r w:rsidRPr="00FE7CC5">
        <w:t>82.</w:t>
      </w:r>
      <w:r w:rsidRPr="00FE7CC5">
        <w:tab/>
        <w:t xml:space="preserve">Pisetsky DS, Thompson DK, Wajdula J, Diehl A, Sridharan S. Variability in Antinuclear Antibody Testing to Assess Patient Eligibility for Clinical Trials of Novel Treatments for Systemic Lupus Erythematosus. </w:t>
      </w:r>
      <w:r w:rsidR="001B71E0">
        <w:rPr>
          <w:lang w:val="nl-BE"/>
        </w:rPr>
        <w:t>Arthritis Rheumatol</w:t>
      </w:r>
      <w:r w:rsidRPr="003D11BA">
        <w:rPr>
          <w:lang w:val="nl-BE"/>
        </w:rPr>
        <w:t xml:space="preserve"> (Hoboken, NJ). 2019;71(9):1534-8.</w:t>
      </w:r>
    </w:p>
    <w:p w:rsidR="003D11BA" w:rsidRPr="00FE7CC5" w:rsidRDefault="003D11BA" w:rsidP="00212E31">
      <w:pPr>
        <w:pStyle w:val="EndNoteBibliography"/>
        <w:spacing w:after="0"/>
      </w:pPr>
      <w:r w:rsidRPr="003D11BA">
        <w:rPr>
          <w:lang w:val="nl-BE"/>
        </w:rPr>
        <w:t>83.</w:t>
      </w:r>
      <w:r w:rsidRPr="003D11BA">
        <w:rPr>
          <w:lang w:val="nl-BE"/>
        </w:rPr>
        <w:tab/>
        <w:t xml:space="preserve">de Vlam K, De Keyser F, Verbruggen G, Vandenbossche M, Vanneuville B, D'Haese D, et al. </w:t>
      </w:r>
      <w:r w:rsidRPr="00FE7CC5">
        <w:t xml:space="preserve">Detection and identification of antinuclear autoantibodies in the serum of normal blood donors. </w:t>
      </w:r>
      <w:r w:rsidR="00C754E2">
        <w:t>Clin Exp Rheumatol</w:t>
      </w:r>
      <w:r w:rsidRPr="00FE7CC5">
        <w:t>. 1993;11(4):393-7.</w:t>
      </w:r>
    </w:p>
    <w:p w:rsidR="003D11BA" w:rsidRPr="00FE7CC5" w:rsidRDefault="003D11BA" w:rsidP="00212E31">
      <w:pPr>
        <w:pStyle w:val="EndNoteBibliography"/>
        <w:spacing w:after="0"/>
      </w:pPr>
      <w:r w:rsidRPr="00FE7CC5">
        <w:t>84.</w:t>
      </w:r>
      <w:r w:rsidRPr="00FE7CC5">
        <w:tab/>
        <w:t>Arcavi M, Dadone J. [Antinuclear antibodies, patterns and characteristics obtained by immunofluorescence. The importance of the IgA, IgM and IgG isotypes]. Medicina. 2009;69(5):502-6.</w:t>
      </w:r>
    </w:p>
    <w:p w:rsidR="003D11BA" w:rsidRPr="00FE7CC5" w:rsidRDefault="003D11BA" w:rsidP="00212E31">
      <w:pPr>
        <w:pStyle w:val="EndNoteBibliography"/>
        <w:spacing w:after="0"/>
      </w:pPr>
      <w:r w:rsidRPr="00FE7CC5">
        <w:t>85.</w:t>
      </w:r>
      <w:r w:rsidRPr="00FE7CC5">
        <w:tab/>
        <w:t>Humbel R. Detection of antinuclear antibodies by immunofluorescence. . In: Van Venrooij W, Maini R, editors. Manual of Biological Markers of Disease Norwell, MA.: Klevier Academic Publishers 1993.</w:t>
      </w:r>
    </w:p>
    <w:p w:rsidR="003D11BA" w:rsidRPr="00FE7CC5" w:rsidRDefault="003D11BA" w:rsidP="00212E31">
      <w:pPr>
        <w:pStyle w:val="EndNoteBibliography"/>
        <w:spacing w:after="0"/>
      </w:pPr>
      <w:r w:rsidRPr="00FE7CC5">
        <w:t>86.</w:t>
      </w:r>
      <w:r w:rsidRPr="00FE7CC5">
        <w:tab/>
        <w:t xml:space="preserve">Kavanaugh A, Tomar R, Reveille J, Solomon DH, Homburger HA. Guidelines for clinical use of the antinuclear antibody test and tests for specific autoantibodies to nuclear antigens. American College of Pathologists. </w:t>
      </w:r>
      <w:r w:rsidR="00C754E2">
        <w:t>Arch Pathol Lab Med</w:t>
      </w:r>
      <w:r w:rsidRPr="00FE7CC5">
        <w:t>. 2000;124(1):71-81.</w:t>
      </w:r>
    </w:p>
    <w:p w:rsidR="003D11BA" w:rsidRPr="00FE7CC5" w:rsidRDefault="003D11BA" w:rsidP="00212E31">
      <w:pPr>
        <w:pStyle w:val="EndNoteBibliography"/>
        <w:spacing w:after="0"/>
      </w:pPr>
      <w:r w:rsidRPr="00FE7CC5">
        <w:t>87.</w:t>
      </w:r>
      <w:r w:rsidRPr="00FE7CC5">
        <w:tab/>
        <w:t xml:space="preserve">Infantino M, Meacci F, Grossi V, Manfredi M, Benucci M, Merone M, et al. The burden of the variability introduced by the HEp-2 assay kit and the CAD system in ANA indirect immunofluorescence test. </w:t>
      </w:r>
      <w:r w:rsidR="00C754E2">
        <w:t>Immunol Res</w:t>
      </w:r>
      <w:r w:rsidRPr="00FE7CC5">
        <w:t>. 2017;65(1):345-54.</w:t>
      </w:r>
    </w:p>
    <w:p w:rsidR="003D11BA" w:rsidRPr="003D11BA" w:rsidRDefault="003D11BA" w:rsidP="00212E31">
      <w:pPr>
        <w:pStyle w:val="EndNoteBibliography"/>
        <w:spacing w:after="0"/>
        <w:rPr>
          <w:lang w:val="nl-BE"/>
        </w:rPr>
      </w:pPr>
      <w:r w:rsidRPr="00FE7CC5">
        <w:t>88.</w:t>
      </w:r>
      <w:r w:rsidRPr="00FE7CC5">
        <w:tab/>
        <w:t xml:space="preserve">Harmon CE. Antinuclear antibodies in autoimmune disease. Significance and pathogenicity. </w:t>
      </w:r>
      <w:r w:rsidR="00C754E2">
        <w:rPr>
          <w:lang w:val="nl-BE"/>
        </w:rPr>
        <w:t>Med Clin North Am</w:t>
      </w:r>
      <w:r w:rsidRPr="003D11BA">
        <w:rPr>
          <w:lang w:val="nl-BE"/>
        </w:rPr>
        <w:t>. 1985;69(3):547-63.</w:t>
      </w:r>
    </w:p>
    <w:p w:rsidR="003D11BA" w:rsidRPr="003D11BA" w:rsidRDefault="003D11BA" w:rsidP="00212E31">
      <w:pPr>
        <w:pStyle w:val="EndNoteBibliography"/>
        <w:spacing w:after="0"/>
        <w:rPr>
          <w:lang w:val="nl-BE"/>
        </w:rPr>
      </w:pPr>
      <w:r w:rsidRPr="003D11BA">
        <w:rPr>
          <w:lang w:val="nl-BE"/>
        </w:rPr>
        <w:t>89.</w:t>
      </w:r>
      <w:r w:rsidRPr="003D11BA">
        <w:rPr>
          <w:lang w:val="nl-BE"/>
        </w:rPr>
        <w:tab/>
        <w:t xml:space="preserve">De Rycke L, Kruithof E, Van Damme N, Hoffman IE, Van den Bossche N, Van den Bosch F, et al. </w:t>
      </w:r>
      <w:r w:rsidRPr="00FE7CC5">
        <w:t xml:space="preserve">Antinuclear antibodies following infliximab treatment in patients with rheumatoid arthritis or spondylarthropathy. </w:t>
      </w:r>
      <w:r w:rsidR="00C42DD9">
        <w:rPr>
          <w:lang w:val="nl-BE"/>
        </w:rPr>
        <w:t xml:space="preserve">Arthritis Rheum </w:t>
      </w:r>
      <w:r w:rsidRPr="003D11BA">
        <w:rPr>
          <w:lang w:val="nl-BE"/>
        </w:rPr>
        <w:t>. 2003;48(4):1015-23.</w:t>
      </w:r>
    </w:p>
    <w:p w:rsidR="003D11BA" w:rsidRPr="00FE7CC5" w:rsidRDefault="003D11BA" w:rsidP="00212E31">
      <w:pPr>
        <w:pStyle w:val="EndNoteBibliography"/>
        <w:spacing w:after="0"/>
      </w:pPr>
      <w:r w:rsidRPr="003D11BA">
        <w:rPr>
          <w:lang w:val="nl-BE"/>
        </w:rPr>
        <w:t>90.</w:t>
      </w:r>
      <w:r w:rsidRPr="003D11BA">
        <w:rPr>
          <w:lang w:val="nl-BE"/>
        </w:rPr>
        <w:tab/>
        <w:t xml:space="preserve">Vermeire S, Noman M, Van Assche G, Baert F, Van Steen K, Esters N, et al. </w:t>
      </w:r>
      <w:r w:rsidRPr="00FE7CC5">
        <w:t>Autoimmunity associated with anti-tumor necrosis factor alpha treatment in Crohn's disease: a prospective cohort study. Gastroenterology. 2003;125(1):32-9.</w:t>
      </w:r>
    </w:p>
    <w:p w:rsidR="003D11BA" w:rsidRPr="00FE7CC5" w:rsidRDefault="003D11BA" w:rsidP="00212E31">
      <w:pPr>
        <w:pStyle w:val="EndNoteBibliography"/>
        <w:spacing w:after="0"/>
      </w:pPr>
      <w:r w:rsidRPr="00FE7CC5">
        <w:t>91.</w:t>
      </w:r>
      <w:r w:rsidRPr="00FE7CC5">
        <w:tab/>
        <w:t xml:space="preserve">Bertin D, Jourde-Chiche N, Bongrand P, Bardin N. Original approach for automated quantification of antinuclear autoantibodies by indirect immunofluorescence. </w:t>
      </w:r>
      <w:r w:rsidR="00C754E2">
        <w:t>Clin Dev Immunol</w:t>
      </w:r>
      <w:r w:rsidRPr="00FE7CC5">
        <w:t>. 2013;2013:182172.</w:t>
      </w:r>
    </w:p>
    <w:p w:rsidR="003D11BA" w:rsidRPr="00FE7CC5" w:rsidRDefault="003D11BA" w:rsidP="00212E31">
      <w:pPr>
        <w:pStyle w:val="EndNoteBibliography"/>
        <w:spacing w:after="0"/>
      </w:pPr>
      <w:r w:rsidRPr="00FE7CC5">
        <w:t>92.</w:t>
      </w:r>
      <w:r w:rsidRPr="00FE7CC5">
        <w:tab/>
        <w:t xml:space="preserve">Bertin D, Mouhajir Y, Bongrand P, Bardin N. ICARE improves antinuclear antibody detection by overcoming the barriers preventing accreditation. </w:t>
      </w:r>
      <w:r w:rsidR="00C754E2" w:rsidRPr="00C754E2">
        <w:t>Clin Chim Acta</w:t>
      </w:r>
      <w:r w:rsidR="00C754E2">
        <w:rPr>
          <w:rFonts w:ascii="Segoe UI" w:hAnsi="Segoe UI" w:cs="Segoe UI"/>
        </w:rPr>
        <w:t>.</w:t>
      </w:r>
      <w:r w:rsidRPr="00FE7CC5">
        <w:t xml:space="preserve"> 2016;454:57-61.</w:t>
      </w:r>
    </w:p>
    <w:p w:rsidR="003D11BA" w:rsidRPr="00FE7CC5" w:rsidRDefault="003D11BA" w:rsidP="00212E31">
      <w:pPr>
        <w:pStyle w:val="EndNoteBibliography"/>
        <w:spacing w:after="0"/>
      </w:pPr>
      <w:r w:rsidRPr="00FE7CC5">
        <w:t>93.</w:t>
      </w:r>
      <w:r w:rsidRPr="00FE7CC5">
        <w:tab/>
        <w:t xml:space="preserve">Bonroy C, Verfaillie C, Smith V, Persijn L, De Witte E, De Keyser F, et al. Automated indirect immunofluorescence antinuclear antibody analysis is a standardized alternative for visual microscope interpretation. </w:t>
      </w:r>
      <w:r w:rsidR="001B71E0">
        <w:t>Clin Chem Lab Med</w:t>
      </w:r>
      <w:r w:rsidRPr="00FE7CC5">
        <w:t>. 2013;51(9):1771-9.</w:t>
      </w:r>
    </w:p>
    <w:p w:rsidR="003D11BA" w:rsidRPr="00FE7CC5" w:rsidRDefault="003D11BA" w:rsidP="00212E31">
      <w:pPr>
        <w:pStyle w:val="EndNoteBibliography"/>
        <w:spacing w:after="0"/>
      </w:pPr>
      <w:r w:rsidRPr="00FE7CC5">
        <w:lastRenderedPageBreak/>
        <w:t>94.</w:t>
      </w:r>
      <w:r w:rsidRPr="00FE7CC5">
        <w:tab/>
        <w:t xml:space="preserve">Bizzaro N, Antico A, Platzgummer S, Tonutti E, Bassetti D, Pesente F, et al. Automated antinuclear immunofluorescence antibody screening: a comparative study of six computer-aided diagnostic systems. </w:t>
      </w:r>
      <w:r w:rsidR="00C42DD9">
        <w:t>Autoimmun Rev</w:t>
      </w:r>
      <w:r w:rsidRPr="00FE7CC5">
        <w:t>. 2014;13(3):292-8.</w:t>
      </w:r>
    </w:p>
    <w:p w:rsidR="003D11BA" w:rsidRPr="00FE7CC5" w:rsidRDefault="003D11BA" w:rsidP="00212E31">
      <w:pPr>
        <w:pStyle w:val="EndNoteBibliography"/>
        <w:spacing w:after="0"/>
      </w:pPr>
      <w:r w:rsidRPr="00FE7CC5">
        <w:t>95.</w:t>
      </w:r>
      <w:r w:rsidRPr="00FE7CC5">
        <w:tab/>
        <w:t xml:space="preserve">Egerer K, Roggenbuck D, Hiemann R, Weyer MG, Buttner T, Radau B, et al. Automated evaluation of autoantibodies on human epithelial-2 cells as an approach to standardize cell-based immunofluorescence tests. </w:t>
      </w:r>
      <w:r w:rsidR="003638A5">
        <w:t>Arthritis Res Ther</w:t>
      </w:r>
      <w:r w:rsidRPr="00FE7CC5">
        <w:t>. 2010;12(2):R40.</w:t>
      </w:r>
    </w:p>
    <w:p w:rsidR="003D11BA" w:rsidRPr="00FE7CC5" w:rsidRDefault="003D11BA" w:rsidP="00212E31">
      <w:pPr>
        <w:pStyle w:val="EndNoteBibliography"/>
        <w:spacing w:after="0"/>
      </w:pPr>
      <w:r w:rsidRPr="00FE7CC5">
        <w:t>96.</w:t>
      </w:r>
      <w:r w:rsidRPr="00FE7CC5">
        <w:tab/>
        <w:t xml:space="preserve">Bentow C, Lakos G, Rosenblum R, Bryant C, Seaman A, Mahler M. Clinical performance evaluation of a novel, automated chemiluminescent immunoassay, QUANTA Flash CTD Screen Plus. </w:t>
      </w:r>
      <w:r w:rsidR="00C754E2">
        <w:t>Immunol Res</w:t>
      </w:r>
      <w:r w:rsidRPr="00FE7CC5">
        <w:t>. 2015;61(1-2):110-6.</w:t>
      </w:r>
    </w:p>
    <w:p w:rsidR="003D11BA" w:rsidRPr="00FE7CC5" w:rsidRDefault="003D11BA" w:rsidP="00212E31">
      <w:pPr>
        <w:pStyle w:val="EndNoteBibliography"/>
        <w:spacing w:after="0"/>
      </w:pPr>
      <w:r w:rsidRPr="00FE7CC5">
        <w:t>97.</w:t>
      </w:r>
      <w:r w:rsidRPr="00FE7CC5">
        <w:tab/>
        <w:t xml:space="preserve">Yoo IY, Oh JW, Cha HS, Koh EM, Kang ES. Performance of an Automated Fluorescence Antinuclear Antibody Image Analyzer. </w:t>
      </w:r>
      <w:r w:rsidR="00C754E2">
        <w:t>Ann Lab Med</w:t>
      </w:r>
      <w:r w:rsidRPr="00FE7CC5">
        <w:t>. 2017;37(3):240-7.</w:t>
      </w:r>
    </w:p>
    <w:p w:rsidR="003D11BA" w:rsidRPr="00FE7CC5" w:rsidRDefault="003D11BA" w:rsidP="00212E31">
      <w:pPr>
        <w:pStyle w:val="EndNoteBibliography"/>
        <w:spacing w:after="0"/>
      </w:pPr>
      <w:r w:rsidRPr="00FE7CC5">
        <w:t>98.</w:t>
      </w:r>
      <w:r w:rsidRPr="00FE7CC5">
        <w:tab/>
        <w:t xml:space="preserve">Melegari A, Bonaguri C, Russo A, Luisita B, Trenti T, Lippi G. A comparative study on the reliability of an automated system for the evaluation of cell-based indirect immunofluorescence. </w:t>
      </w:r>
      <w:r w:rsidR="00C42DD9">
        <w:t>Autoimmun Rev</w:t>
      </w:r>
      <w:r w:rsidRPr="00FE7CC5">
        <w:t>. 2012;11(10):713-6.</w:t>
      </w:r>
    </w:p>
    <w:p w:rsidR="003D11BA" w:rsidRPr="00FE7CC5" w:rsidRDefault="003D11BA" w:rsidP="00212E31">
      <w:pPr>
        <w:pStyle w:val="EndNoteBibliography"/>
        <w:spacing w:after="0"/>
      </w:pPr>
      <w:r w:rsidRPr="00FE7CC5">
        <w:t>99.</w:t>
      </w:r>
      <w:r w:rsidRPr="00FE7CC5">
        <w:tab/>
        <w:t xml:space="preserve">Voigt J, Krause C, Rohwader E, Saschenbrecker S, Hahn M, Danckwardt M, et al. Automated indirect immunofluorescence evaluation of antinuclear autoantibodies on HEp-2 cells. </w:t>
      </w:r>
      <w:r w:rsidR="00C754E2">
        <w:t>Clin Dev Immunol</w:t>
      </w:r>
      <w:r w:rsidRPr="00FE7CC5">
        <w:t>. 2012;2012:651058.</w:t>
      </w:r>
    </w:p>
    <w:p w:rsidR="003D11BA" w:rsidRPr="00FE7CC5" w:rsidRDefault="003D11BA" w:rsidP="00212E31">
      <w:pPr>
        <w:pStyle w:val="EndNoteBibliography"/>
        <w:spacing w:after="0"/>
      </w:pPr>
      <w:r w:rsidRPr="00FE7CC5">
        <w:t>100.</w:t>
      </w:r>
      <w:r w:rsidRPr="00FE7CC5">
        <w:tab/>
        <w:t>Loock CD, Egerer K, Feist E, Burmester GR. Automated evaluation of ANA under real-life conditions. RMD open. 2017;3(1):e000409.</w:t>
      </w:r>
    </w:p>
    <w:p w:rsidR="003D11BA" w:rsidRPr="00FE7CC5" w:rsidRDefault="003D11BA" w:rsidP="00212E31">
      <w:pPr>
        <w:pStyle w:val="EndNoteBibliography"/>
        <w:spacing w:after="0"/>
      </w:pPr>
      <w:r w:rsidRPr="00FE7CC5">
        <w:t>101.</w:t>
      </w:r>
      <w:r w:rsidRPr="00FE7CC5">
        <w:tab/>
        <w:t>Lutteri L, Dierge L, Pesser M, Watrin P, Cavalier E. A paperless autoimmunity laboratory: myth or reality?</w:t>
      </w:r>
      <w:r w:rsidR="00C754E2">
        <w:t xml:space="preserve"> </w:t>
      </w:r>
      <w:r w:rsidR="00C754E2" w:rsidRPr="00C754E2">
        <w:t>Ann Biol Clin</w:t>
      </w:r>
      <w:r w:rsidRPr="00FE7CC5">
        <w:t>. 2016;74(4):477-89.</w:t>
      </w:r>
    </w:p>
    <w:p w:rsidR="003D11BA" w:rsidRPr="00FE7CC5" w:rsidRDefault="003D11BA" w:rsidP="00212E31">
      <w:pPr>
        <w:pStyle w:val="EndNoteBibliography"/>
        <w:spacing w:after="0"/>
      </w:pPr>
      <w:r w:rsidRPr="00FE7CC5">
        <w:t>102.</w:t>
      </w:r>
      <w:r w:rsidRPr="00FE7CC5">
        <w:tab/>
        <w:t>Hayashi N, Saegusa J, Uto K, Oyabu C, Saito T, Sato I, et al. [Evaluation of a Computer-Aided Microscope System and Its Anti-Nuclear Antibody Test Kit for Indirect Immunofluorescence Assay]</w:t>
      </w:r>
      <w:r w:rsidR="00C754E2">
        <w:t xml:space="preserve"> </w:t>
      </w:r>
      <w:r w:rsidR="00C754E2" w:rsidRPr="00CF1EE6">
        <w:rPr>
          <w:color w:val="000000" w:themeColor="text1"/>
        </w:rPr>
        <w:t>(English abstract)</w:t>
      </w:r>
      <w:r w:rsidRPr="00CF1EE6">
        <w:rPr>
          <w:color w:val="000000" w:themeColor="text1"/>
        </w:rPr>
        <w:t xml:space="preserve">. </w:t>
      </w:r>
      <w:r w:rsidRPr="00FE7CC5">
        <w:t xml:space="preserve">Rinsho byori The Japanese </w:t>
      </w:r>
      <w:r w:rsidR="0008320C">
        <w:t>J Clin Pathol</w:t>
      </w:r>
      <w:r w:rsidRPr="00FE7CC5">
        <w:t>. 2016;64(2):142-51.</w:t>
      </w:r>
    </w:p>
    <w:p w:rsidR="003D11BA" w:rsidRPr="00FE7CC5" w:rsidRDefault="003D11BA" w:rsidP="00212E31">
      <w:pPr>
        <w:pStyle w:val="EndNoteBibliography"/>
        <w:spacing w:after="0"/>
      </w:pPr>
      <w:r w:rsidRPr="00605638">
        <w:t>103.</w:t>
      </w:r>
      <w:r w:rsidRPr="00605638">
        <w:tab/>
        <w:t xml:space="preserve">Bossuyt X, Cooreman S, De Baere H, Verschueren P, Westhovens R, Blockmans D, et al. </w:t>
      </w:r>
      <w:r w:rsidRPr="00FE7CC5">
        <w:t xml:space="preserve">Detection of antinuclear antibodies by automated indirect immunofluorescence analysis. </w:t>
      </w:r>
      <w:r w:rsidR="00C754E2">
        <w:t>Clin Chim Acta</w:t>
      </w:r>
      <w:r w:rsidRPr="00FE7CC5">
        <w:t>. 2013;415:101-6.</w:t>
      </w:r>
    </w:p>
    <w:p w:rsidR="003D11BA" w:rsidRPr="00605638" w:rsidRDefault="003D11BA" w:rsidP="00212E31">
      <w:pPr>
        <w:pStyle w:val="EndNoteBibliography"/>
        <w:spacing w:after="0"/>
        <w:rPr>
          <w:lang w:val="nl-BE"/>
        </w:rPr>
      </w:pPr>
      <w:r w:rsidRPr="00FE7CC5">
        <w:t>104.</w:t>
      </w:r>
      <w:r w:rsidRPr="00FE7CC5">
        <w:tab/>
        <w:t xml:space="preserve">Copple SS, Jaskowski TD, Giles R, Hill HR. Interpretation of ANA indirect immunofluorescence test outside the darkroom using NOVA view compared to manual microscopy. </w:t>
      </w:r>
      <w:r w:rsidR="000E2EA8" w:rsidRPr="00605638">
        <w:rPr>
          <w:lang w:val="nl-BE"/>
        </w:rPr>
        <w:t>J Immunol Res</w:t>
      </w:r>
      <w:r w:rsidRPr="00605638">
        <w:rPr>
          <w:lang w:val="nl-BE"/>
        </w:rPr>
        <w:t>. 2014;2014:149316.</w:t>
      </w:r>
    </w:p>
    <w:p w:rsidR="003D11BA" w:rsidRPr="00FE7CC5" w:rsidRDefault="003D11BA" w:rsidP="00212E31">
      <w:pPr>
        <w:pStyle w:val="EndNoteBibliography"/>
        <w:spacing w:after="0"/>
      </w:pPr>
      <w:r w:rsidRPr="00605638">
        <w:rPr>
          <w:lang w:val="nl-BE"/>
        </w:rPr>
        <w:t>105.</w:t>
      </w:r>
      <w:r w:rsidRPr="00605638">
        <w:rPr>
          <w:lang w:val="nl-BE"/>
        </w:rPr>
        <w:tab/>
        <w:t xml:space="preserve">Schouwers S, Bonnet M, Verschueren P, Westhovens R, Blockmans D, Marien G, et al. </w:t>
      </w:r>
      <w:r w:rsidRPr="00FE7CC5">
        <w:t xml:space="preserve">Value-added reporting of antinuclear antibody testing by automated indirect immunofluorescence analysis. </w:t>
      </w:r>
      <w:r w:rsidR="001B71E0">
        <w:t>Clin Chem Lab Med</w:t>
      </w:r>
      <w:r w:rsidRPr="00FE7CC5">
        <w:t>. 2014;52(4):547-51.</w:t>
      </w:r>
    </w:p>
    <w:p w:rsidR="003D11BA" w:rsidRPr="00FE7CC5" w:rsidRDefault="003D11BA" w:rsidP="00212E31">
      <w:pPr>
        <w:pStyle w:val="EndNoteBibliography"/>
        <w:spacing w:after="0"/>
      </w:pPr>
      <w:r w:rsidRPr="00FE7CC5">
        <w:t>106.</w:t>
      </w:r>
      <w:r w:rsidRPr="00FE7CC5">
        <w:tab/>
        <w:t xml:space="preserve">Kivity S, Gilburd B, Agmon-Levin N, Carrasco MG, Tzafrir Y, Sofer Y, et al. A novel automated indirect immunofluorescence autoantibody evaluation. </w:t>
      </w:r>
      <w:r w:rsidR="0008320C">
        <w:t>Clin Rheumatol</w:t>
      </w:r>
      <w:r w:rsidRPr="00FE7CC5">
        <w:t>. 2012;31(3):503-9.</w:t>
      </w:r>
    </w:p>
    <w:p w:rsidR="003D11BA" w:rsidRPr="003D11BA" w:rsidRDefault="003D11BA" w:rsidP="00212E31">
      <w:pPr>
        <w:pStyle w:val="EndNoteBibliography"/>
        <w:spacing w:after="0"/>
        <w:rPr>
          <w:lang w:val="nl-BE"/>
        </w:rPr>
      </w:pPr>
      <w:r w:rsidRPr="00FE7CC5">
        <w:t>107.</w:t>
      </w:r>
      <w:r w:rsidRPr="00FE7CC5">
        <w:tab/>
        <w:t xml:space="preserve">Kim J, Lee W, Kim GT, Kim HS, Ock S, Kim IS, et al. Diagnostic utility of automated indirect immunofluorescence compared to manual indirect immunofluorescence for anti-nuclear antibodies in patients with systemic rheumatic diseases: A systematic review and meta-analysis. </w:t>
      </w:r>
      <w:r w:rsidRPr="003D11BA">
        <w:rPr>
          <w:lang w:val="nl-BE"/>
        </w:rPr>
        <w:t xml:space="preserve">Seminars in </w:t>
      </w:r>
      <w:r w:rsidR="00C42DD9">
        <w:rPr>
          <w:lang w:val="nl-BE"/>
        </w:rPr>
        <w:t xml:space="preserve">Arthritis Rheum </w:t>
      </w:r>
      <w:r w:rsidRPr="003D11BA">
        <w:rPr>
          <w:lang w:val="nl-BE"/>
        </w:rPr>
        <w:t>. 2019;48(4):728-35.</w:t>
      </w:r>
    </w:p>
    <w:p w:rsidR="003D11BA" w:rsidRPr="00FE7CC5" w:rsidRDefault="003D11BA" w:rsidP="00212E31">
      <w:pPr>
        <w:pStyle w:val="EndNoteBibliography"/>
        <w:spacing w:after="0"/>
      </w:pPr>
      <w:r w:rsidRPr="003D11BA">
        <w:rPr>
          <w:lang w:val="nl-BE"/>
        </w:rPr>
        <w:t>108.</w:t>
      </w:r>
      <w:r w:rsidRPr="003D11BA">
        <w:rPr>
          <w:lang w:val="nl-BE"/>
        </w:rPr>
        <w:tab/>
        <w:t xml:space="preserve">Van Hoovels L, Schouwers S, Van den Bremt S, Bogaert L, Vandeputte N, Vercammen M, et al. </w:t>
      </w:r>
      <w:r w:rsidRPr="00FE7CC5">
        <w:t xml:space="preserve">Analytical performance of the single well titer function of NOVA View(R): good enough to omit ANA IIF titer analysis? </w:t>
      </w:r>
      <w:r w:rsidR="001B71E0">
        <w:t>Clin Chem Lab Med</w:t>
      </w:r>
      <w:r w:rsidRPr="00FE7CC5">
        <w:t>. 2018;56(11):258-61.</w:t>
      </w:r>
    </w:p>
    <w:p w:rsidR="003D11BA" w:rsidRPr="00FE7CC5" w:rsidRDefault="003D11BA" w:rsidP="00212E31">
      <w:pPr>
        <w:pStyle w:val="EndNoteBibliography"/>
        <w:spacing w:after="0"/>
      </w:pPr>
      <w:r w:rsidRPr="00FE7CC5">
        <w:t>109.</w:t>
      </w:r>
      <w:r w:rsidRPr="00FE7CC5">
        <w:tab/>
        <w:t xml:space="preserve">Van Hoovels L, Schouwers S, Van den Bremt S, Bossuyt X. Variation in antinuclear antibody detection by automated indirect immunofluorescence analysis. </w:t>
      </w:r>
      <w:r w:rsidR="001B71E0">
        <w:t>Ann Rheum Dis</w:t>
      </w:r>
      <w:r w:rsidRPr="00FE7CC5">
        <w:t>. 2019;78(6):e48.</w:t>
      </w:r>
    </w:p>
    <w:p w:rsidR="003D11BA" w:rsidRPr="00FE7CC5" w:rsidRDefault="003D11BA" w:rsidP="00212E31">
      <w:pPr>
        <w:pStyle w:val="EndNoteBibliography"/>
        <w:spacing w:after="0"/>
      </w:pPr>
      <w:r w:rsidRPr="00FE7CC5">
        <w:t>110.</w:t>
      </w:r>
      <w:r w:rsidRPr="00FE7CC5">
        <w:tab/>
        <w:t xml:space="preserve">Roggenbuck D, Hiemann R, Schierack P, Reinhold D, Conrad K. Digital immunofluorescence enables automated detection of antinuclear antibody endpoint titers avoiding serial dilution. </w:t>
      </w:r>
      <w:r w:rsidR="001B71E0">
        <w:t>Clin Chem Lab Med</w:t>
      </w:r>
      <w:r w:rsidRPr="00FE7CC5">
        <w:t>. 2014;52(2):e9-11.</w:t>
      </w:r>
    </w:p>
    <w:p w:rsidR="003D11BA" w:rsidRPr="00FE7CC5" w:rsidRDefault="003D11BA" w:rsidP="00212E31">
      <w:pPr>
        <w:pStyle w:val="EndNoteBibliography"/>
        <w:spacing w:after="0"/>
      </w:pPr>
      <w:r w:rsidRPr="00FE7CC5">
        <w:t>111.</w:t>
      </w:r>
      <w:r w:rsidRPr="00FE7CC5">
        <w:tab/>
        <w:t xml:space="preserve">Oyaert M, Bossuyt X, Ravelingien I, Van Hoovels L. Added value of indirect immunofluorescence intensity of automated antinuclear antibody testing in a secondary hospital setting. </w:t>
      </w:r>
      <w:r w:rsidR="001B71E0">
        <w:t>Clin Chem Lab Med</w:t>
      </w:r>
      <w:r w:rsidRPr="00FE7CC5">
        <w:t>. 2016;54(2):e63-6.</w:t>
      </w:r>
    </w:p>
    <w:p w:rsidR="003D11BA" w:rsidRPr="00605638" w:rsidRDefault="003D11BA" w:rsidP="00212E31">
      <w:pPr>
        <w:pStyle w:val="EndNoteBibliography"/>
        <w:spacing w:after="0"/>
        <w:rPr>
          <w:lang w:val="nl-BE"/>
        </w:rPr>
      </w:pPr>
      <w:r w:rsidRPr="00FE7CC5">
        <w:lastRenderedPageBreak/>
        <w:t>112.</w:t>
      </w:r>
      <w:r w:rsidRPr="00FE7CC5">
        <w:tab/>
        <w:t xml:space="preserve">Bogaert L, Van den Bremt S, Schouwers S, Bossuyt X, Van Hoovels L. Harmonizing by reducing inter-run variability: performance evaluation of a quality assurance program for antinuclear antibody detection by indirect immunofluorescence. </w:t>
      </w:r>
      <w:r w:rsidR="001B71E0" w:rsidRPr="00605638">
        <w:rPr>
          <w:lang w:val="nl-BE"/>
        </w:rPr>
        <w:t>Clin Chem Lab Med</w:t>
      </w:r>
      <w:r w:rsidRPr="00605638">
        <w:rPr>
          <w:lang w:val="nl-BE"/>
        </w:rPr>
        <w:t>. 2019;57(7):990-8.</w:t>
      </w:r>
    </w:p>
    <w:p w:rsidR="003D11BA" w:rsidRPr="00FE7CC5" w:rsidRDefault="003D11BA" w:rsidP="00212E31">
      <w:pPr>
        <w:pStyle w:val="EndNoteBibliography"/>
        <w:spacing w:after="0"/>
      </w:pPr>
      <w:r w:rsidRPr="00605638">
        <w:rPr>
          <w:lang w:val="nl-BE"/>
        </w:rPr>
        <w:t>113.</w:t>
      </w:r>
      <w:r w:rsidRPr="00605638">
        <w:rPr>
          <w:lang w:val="nl-BE"/>
        </w:rPr>
        <w:tab/>
        <w:t xml:space="preserve">Van den Bremt S, Schouwers S, Van Blerk M, Van Hoovels L. ANA IIF Automation: Moving towards Harmonization? </w:t>
      </w:r>
      <w:r w:rsidRPr="00FE7CC5">
        <w:t xml:space="preserve">Results of a Multicenter Study. </w:t>
      </w:r>
      <w:r w:rsidR="000E2EA8">
        <w:t>J Immunol Res</w:t>
      </w:r>
      <w:r w:rsidRPr="00FE7CC5">
        <w:t>. 2017;2017:6038137.</w:t>
      </w:r>
    </w:p>
    <w:p w:rsidR="003D11BA" w:rsidRPr="00FE7CC5" w:rsidRDefault="003D11BA" w:rsidP="00212E31">
      <w:pPr>
        <w:pStyle w:val="EndNoteBibliography"/>
        <w:spacing w:after="0"/>
      </w:pPr>
      <w:r w:rsidRPr="00FE7CC5">
        <w:t>114.</w:t>
      </w:r>
      <w:r w:rsidRPr="00FE7CC5">
        <w:tab/>
        <w:t xml:space="preserve">Maenhout TM, Bonroy C, Verfaillie C, Stove V, Devreese K. Automated indirect immunofluorescence microscopy enables the implementation of a quantitative internal quality control system for anti-nuclear antibody (ANA) analysis. </w:t>
      </w:r>
      <w:r w:rsidR="001B71E0">
        <w:t>Clin Chem Lab Med</w:t>
      </w:r>
      <w:r w:rsidRPr="00FE7CC5">
        <w:t>. 2014;52(7):989-98.</w:t>
      </w:r>
    </w:p>
    <w:p w:rsidR="003D11BA" w:rsidRPr="00FE7CC5" w:rsidRDefault="003D11BA" w:rsidP="00212E31">
      <w:pPr>
        <w:pStyle w:val="EndNoteBibliography"/>
        <w:spacing w:after="0"/>
      </w:pPr>
      <w:r w:rsidRPr="00FE7CC5">
        <w:t>115.</w:t>
      </w:r>
      <w:r w:rsidRPr="00FE7CC5">
        <w:tab/>
      </w:r>
      <w:r w:rsidR="000E2EA8" w:rsidRPr="00FE7CC5">
        <w:t>International Organization for Standardization</w:t>
      </w:r>
      <w:r w:rsidR="000E2EA8">
        <w:t>.</w:t>
      </w:r>
      <w:r w:rsidR="000E2EA8" w:rsidRPr="00FE7CC5">
        <w:t xml:space="preserve"> </w:t>
      </w:r>
      <w:r w:rsidRPr="00FE7CC5">
        <w:t>EN-ISO 15189: 2012. Medical laboratories - Requirements for quality and competence. . Geneva, Switzerland:</w:t>
      </w:r>
      <w:r w:rsidR="000E2EA8">
        <w:t xml:space="preserve"> </w:t>
      </w:r>
      <w:r w:rsidR="000E2EA8" w:rsidRPr="00FE7CC5">
        <w:t>EN-ISO 15189</w:t>
      </w:r>
      <w:r w:rsidRPr="00FE7CC5">
        <w:t>; 2012.</w:t>
      </w:r>
    </w:p>
    <w:p w:rsidR="003D11BA" w:rsidRPr="00FE7CC5" w:rsidRDefault="003D11BA" w:rsidP="00212E31">
      <w:pPr>
        <w:pStyle w:val="EndNoteBibliography"/>
        <w:spacing w:after="0"/>
      </w:pPr>
      <w:r w:rsidRPr="00FE7CC5">
        <w:t>116.</w:t>
      </w:r>
      <w:r w:rsidRPr="00FE7CC5">
        <w:tab/>
        <w:t xml:space="preserve">Sack U, Bossuyt X, Andreeva H, Antal-Szalmas P, Bizzaro N, Bogdanos D, et al. Quality and best practice in medical laboratories: specific requests for autoimmunity testing. </w:t>
      </w:r>
      <w:r w:rsidR="0008320C">
        <w:t>Auto Immun Highlights</w:t>
      </w:r>
      <w:r w:rsidRPr="00FE7CC5">
        <w:t>. 2020;11(1):12.</w:t>
      </w:r>
    </w:p>
    <w:p w:rsidR="003D11BA" w:rsidRPr="00FE7CC5" w:rsidRDefault="003D11BA" w:rsidP="00212E31">
      <w:pPr>
        <w:pStyle w:val="EndNoteBibliography"/>
        <w:spacing w:after="0"/>
      </w:pPr>
      <w:r w:rsidRPr="00FE7CC5">
        <w:t>117.</w:t>
      </w:r>
      <w:r w:rsidRPr="00FE7CC5">
        <w:tab/>
      </w:r>
      <w:r w:rsidRPr="00CF1EE6">
        <w:t>Dellavance A, Andrade L. Detection of Autoantibodies by Indirect Immunofluorescence Cytochemistry on Hep-2 Cells. . In: Houen G, editor. Autoantibodies Methods and Protocols,  Methods Mol Biol. 1901: Springer Science; 2019. p. 19-46.</w:t>
      </w:r>
    </w:p>
    <w:p w:rsidR="003D11BA" w:rsidRPr="00FE7CC5" w:rsidRDefault="003D11BA" w:rsidP="00212E31">
      <w:pPr>
        <w:pStyle w:val="EndNoteBibliography"/>
        <w:spacing w:after="0"/>
      </w:pPr>
      <w:r w:rsidRPr="003D11BA">
        <w:rPr>
          <w:lang w:val="nl-BE"/>
        </w:rPr>
        <w:t>118.</w:t>
      </w:r>
      <w:r w:rsidRPr="003D11BA">
        <w:rPr>
          <w:lang w:val="nl-BE"/>
        </w:rPr>
        <w:tab/>
        <w:t xml:space="preserve">Sack U, Conrad K, Csernok E, Frank I, Hiepe F, Krieger T, et al. </w:t>
      </w:r>
      <w:r w:rsidRPr="00FE7CC5">
        <w:t xml:space="preserve">Autoantibody detection using indirect immunofluorescence on HEp-2 cells. </w:t>
      </w:r>
      <w:r w:rsidR="000E2EA8">
        <w:t>Ann N Y Acad Sci</w:t>
      </w:r>
      <w:r w:rsidRPr="00FE7CC5">
        <w:t>. 2009;1173:166-73.</w:t>
      </w:r>
    </w:p>
    <w:p w:rsidR="003D11BA" w:rsidRPr="00605638" w:rsidRDefault="003D11BA" w:rsidP="00212E31">
      <w:pPr>
        <w:pStyle w:val="EndNoteBibliography"/>
        <w:spacing w:after="0"/>
        <w:rPr>
          <w:lang w:val="fr-FR"/>
        </w:rPr>
      </w:pPr>
      <w:r w:rsidRPr="00FE7CC5">
        <w:t>119.</w:t>
      </w:r>
      <w:r w:rsidRPr="00FE7CC5">
        <w:tab/>
        <w:t xml:space="preserve">Westgard JO, Barry PL, Hunt MR, Groth T. A multi-rule Shewhart chart for quality control in clinical chemistry. </w:t>
      </w:r>
      <w:r w:rsidR="0008320C" w:rsidRPr="00605638">
        <w:rPr>
          <w:lang w:val="fr-FR"/>
        </w:rPr>
        <w:t>Clin Chem</w:t>
      </w:r>
      <w:r w:rsidRPr="00605638">
        <w:rPr>
          <w:lang w:val="fr-FR"/>
        </w:rPr>
        <w:t>. 1981;27(3):493-501.</w:t>
      </w:r>
    </w:p>
    <w:p w:rsidR="003D11BA" w:rsidRPr="00605638" w:rsidRDefault="003D11BA" w:rsidP="00212E31">
      <w:pPr>
        <w:pStyle w:val="EndNoteBibliography"/>
        <w:spacing w:after="0"/>
        <w:rPr>
          <w:lang w:val="fr-FR"/>
        </w:rPr>
      </w:pPr>
      <w:r w:rsidRPr="00605638">
        <w:rPr>
          <w:lang w:val="fr-FR"/>
        </w:rPr>
        <w:t>120.</w:t>
      </w:r>
      <w:r w:rsidRPr="00605638">
        <w:rPr>
          <w:lang w:val="fr-FR"/>
        </w:rPr>
        <w:tab/>
      </w:r>
      <w:r w:rsidR="000E2EA8" w:rsidRPr="00605638">
        <w:rPr>
          <w:lang w:val="fr-FR"/>
        </w:rPr>
        <w:t xml:space="preserve">Comité Français d’Accréditation. </w:t>
      </w:r>
      <w:r w:rsidRPr="00605638">
        <w:rPr>
          <w:lang w:val="fr-FR"/>
        </w:rPr>
        <w:t>Guide technique d’accréditation de vérification (portée A)/validation (portée B) des methodes en biologie médicale. Document SH GTA 04- Révison 01. Paris, France:</w:t>
      </w:r>
      <w:r w:rsidR="000E2EA8" w:rsidRPr="00605638">
        <w:rPr>
          <w:lang w:val="fr-FR"/>
        </w:rPr>
        <w:t xml:space="preserve"> COFRAC</w:t>
      </w:r>
      <w:r w:rsidRPr="00605638">
        <w:rPr>
          <w:lang w:val="fr-FR"/>
        </w:rPr>
        <w:t>; 2015.</w:t>
      </w:r>
    </w:p>
    <w:p w:rsidR="003D11BA" w:rsidRPr="00FE7CC5" w:rsidRDefault="003D11BA" w:rsidP="00212E31">
      <w:pPr>
        <w:pStyle w:val="EndNoteBibliography"/>
        <w:spacing w:after="0"/>
      </w:pPr>
      <w:r w:rsidRPr="00605638">
        <w:rPr>
          <w:lang w:val="fr-FR"/>
        </w:rPr>
        <w:t>121.</w:t>
      </w:r>
      <w:r w:rsidRPr="00605638">
        <w:rPr>
          <w:lang w:val="fr-FR"/>
        </w:rPr>
        <w:tab/>
        <w:t xml:space="preserve">Van Blerk M, Van Campenhout C, Bossuyt X, Duchateau J, Humbel R, Servais G, et al. </w:t>
      </w:r>
      <w:r w:rsidRPr="00FE7CC5">
        <w:t xml:space="preserve">Current practices in antinuclear antibody testing: results from the Belgian External Quality Assessment Scheme. </w:t>
      </w:r>
      <w:r w:rsidR="001B71E0">
        <w:t>Clin Chem Lab Med</w:t>
      </w:r>
      <w:r w:rsidRPr="00FE7CC5">
        <w:t>. 2009;47(1):102-8.</w:t>
      </w:r>
    </w:p>
    <w:p w:rsidR="003D11BA" w:rsidRPr="00FE7CC5" w:rsidRDefault="003D11BA" w:rsidP="00212E31">
      <w:pPr>
        <w:pStyle w:val="EndNoteBibliography"/>
        <w:spacing w:after="0"/>
      </w:pPr>
      <w:r w:rsidRPr="00FE7CC5">
        <w:t>122.</w:t>
      </w:r>
      <w:r w:rsidRPr="00FE7CC5">
        <w:tab/>
        <w:t xml:space="preserve">Rigon A, Soda P, Zennaro D, Iannello G, Afeltra A. Indirect immunofluorescence in autoimmune diseases: assessment of digital images for diagnostic purpose. </w:t>
      </w:r>
      <w:r w:rsidR="000E2EA8">
        <w:t>Cytometry B Clin Cytom</w:t>
      </w:r>
      <w:r w:rsidRPr="00FE7CC5">
        <w:t>. 2007;72(6):472-7.</w:t>
      </w:r>
    </w:p>
    <w:p w:rsidR="003D11BA" w:rsidRPr="00FE7CC5" w:rsidRDefault="003D11BA" w:rsidP="00212E31">
      <w:pPr>
        <w:pStyle w:val="EndNoteBibliography"/>
        <w:spacing w:after="0"/>
      </w:pPr>
      <w:r w:rsidRPr="00FE7CC5">
        <w:t>123.</w:t>
      </w:r>
      <w:r w:rsidRPr="00FE7CC5">
        <w:tab/>
        <w:t>Pham BN, Albarede S, Guyard A, Burg E, Maisonneuve P. Impact of external quality assessment on antinuclear antibody detection performance. Lupus. 2005;14(2):113-9.</w:t>
      </w:r>
    </w:p>
    <w:p w:rsidR="003D11BA" w:rsidRPr="00FE7CC5" w:rsidRDefault="003D11BA" w:rsidP="000E2EA8">
      <w:pPr>
        <w:pStyle w:val="EndNoteBibliography"/>
      </w:pPr>
      <w:r w:rsidRPr="00FE7CC5">
        <w:t>124.</w:t>
      </w:r>
      <w:r w:rsidRPr="00FE7CC5">
        <w:tab/>
        <w:t>CLSI EP26-A. User evaluation of between-reagent lot variation. Approved guideline. Wayne, PA, USA: Clinical and Laboratory Standards Institute</w:t>
      </w:r>
      <w:r w:rsidR="000E2EA8">
        <w:t xml:space="preserve">; </w:t>
      </w:r>
      <w:r w:rsidRPr="00FE7CC5">
        <w:t>2013.</w:t>
      </w:r>
    </w:p>
    <w:p w:rsidR="003D11BA" w:rsidRPr="00FE7CC5" w:rsidRDefault="003D11BA" w:rsidP="00212E31">
      <w:pPr>
        <w:pStyle w:val="EndNoteBibliography"/>
        <w:spacing w:after="0"/>
      </w:pPr>
      <w:r w:rsidRPr="003D11BA">
        <w:rPr>
          <w:lang w:val="nl-BE"/>
        </w:rPr>
        <w:t>125.</w:t>
      </w:r>
      <w:r w:rsidRPr="003D11BA">
        <w:rPr>
          <w:lang w:val="nl-BE"/>
        </w:rPr>
        <w:tab/>
        <w:t xml:space="preserve">Van Hoovels L, Bossuyt X, Manfredi M, Grossi V, Benucci M, Van Den Bremt S, et al. </w:t>
      </w:r>
      <w:r w:rsidRPr="00FE7CC5">
        <w:t xml:space="preserve">Integrating quality assurance in autoimmunity: the changing face of the automated ANA IIF test. </w:t>
      </w:r>
      <w:r w:rsidR="001B71E0">
        <w:t>Clin Chem Lab Med</w:t>
      </w:r>
      <w:r w:rsidRPr="00FE7CC5">
        <w:t>. 2021;59(7):1247-55.</w:t>
      </w:r>
    </w:p>
    <w:p w:rsidR="003D11BA" w:rsidRPr="00FE7CC5" w:rsidRDefault="003D11BA" w:rsidP="00212E31">
      <w:pPr>
        <w:pStyle w:val="EndNoteBibliography"/>
        <w:spacing w:after="0"/>
      </w:pPr>
      <w:r w:rsidRPr="00FE7CC5">
        <w:t>126.</w:t>
      </w:r>
      <w:r w:rsidRPr="00FE7CC5">
        <w:tab/>
      </w:r>
      <w:r w:rsidR="000E2EA8" w:rsidRPr="00FE7CC5">
        <w:t>World Health Organization</w:t>
      </w:r>
      <w:r w:rsidR="000E2EA8">
        <w:t>.</w:t>
      </w:r>
      <w:r w:rsidR="000E2EA8" w:rsidRPr="00FE7CC5">
        <w:t xml:space="preserve"> </w:t>
      </w:r>
      <w:r w:rsidRPr="00FE7CC5">
        <w:t>WHO BS/95.1793. Glossary of Terms for Biological Substances Used for Texts of the Requirements. World Health Organization Expert Committee on Standardization. . . Geneva Switzerland: WHO; 1995.</w:t>
      </w:r>
    </w:p>
    <w:p w:rsidR="003D11BA" w:rsidRPr="000E2EA8" w:rsidRDefault="003D11BA" w:rsidP="00212E31">
      <w:pPr>
        <w:pStyle w:val="EndNoteBibliography"/>
        <w:spacing w:after="0"/>
        <w:rPr>
          <w:color w:val="FF0000"/>
        </w:rPr>
      </w:pPr>
      <w:r w:rsidRPr="00FE7CC5">
        <w:t>127.</w:t>
      </w:r>
      <w:r w:rsidRPr="00FE7CC5">
        <w:tab/>
      </w:r>
      <w:r w:rsidR="00CF1EE6" w:rsidRPr="00CF1EE6">
        <w:t xml:space="preserve">European parliament, Council of the European Union. </w:t>
      </w:r>
      <w:r w:rsidRPr="00CF1EE6">
        <w:t>Directive 98/79/EC of the European Parliament and of the Council of 27 October 1998 on in vitro diagnostic medical devices</w:t>
      </w:r>
      <w:r w:rsidR="00CF1EE6" w:rsidRPr="00CF1EE6">
        <w:t xml:space="preserve">. Official  Journal  of  the  EuropeanCommunities </w:t>
      </w:r>
      <w:r w:rsidRPr="00CF1EE6">
        <w:t xml:space="preserve">1998. </w:t>
      </w:r>
      <w:r w:rsidRPr="00CF1EE6">
        <w:rPr>
          <w:color w:val="AEAAAA" w:themeColor="background2" w:themeShade="BF"/>
        </w:rPr>
        <w:t>p. 1-37.</w:t>
      </w:r>
    </w:p>
    <w:p w:rsidR="003D11BA" w:rsidRPr="00CF1EE6" w:rsidRDefault="003D11BA" w:rsidP="00212E31">
      <w:pPr>
        <w:pStyle w:val="EndNoteBibliography"/>
        <w:spacing w:after="0"/>
      </w:pPr>
      <w:r w:rsidRPr="00CF1EE6">
        <w:t>128.</w:t>
      </w:r>
      <w:r w:rsidRPr="00CF1EE6">
        <w:tab/>
        <w:t>Sarewitz SJ. CAP Accreditation requirements for Validation of Laboratory tests 2013. Available from: http://webapps.cap.org/apps/docs/education/lapaudio/pdf/011613.presentation.pdf.</w:t>
      </w:r>
    </w:p>
    <w:p w:rsidR="003D11BA" w:rsidRPr="00FE7CC5" w:rsidRDefault="003D11BA" w:rsidP="00212E31">
      <w:pPr>
        <w:pStyle w:val="EndNoteBibliography"/>
        <w:spacing w:after="0"/>
      </w:pPr>
      <w:r w:rsidRPr="00FE7CC5">
        <w:t>129.</w:t>
      </w:r>
      <w:r w:rsidRPr="00FE7CC5">
        <w:tab/>
      </w:r>
      <w:r w:rsidR="000E2EA8" w:rsidRPr="00FE7CC5">
        <w:t>International Organization for Standardization</w:t>
      </w:r>
      <w:r w:rsidR="000E2EA8">
        <w:t>.</w:t>
      </w:r>
      <w:r w:rsidR="000E2EA8" w:rsidRPr="00FE7CC5">
        <w:t xml:space="preserve"> </w:t>
      </w:r>
      <w:r w:rsidRPr="00FE7CC5">
        <w:t>ISO/IEC 17025:2005.  General requirements for the competence of testing and calibrating laboratories. Geneva, Switzerland:</w:t>
      </w:r>
      <w:r w:rsidR="000E2EA8">
        <w:t>ISO;</w:t>
      </w:r>
      <w:r w:rsidRPr="00FE7CC5">
        <w:t xml:space="preserve"> 2005.</w:t>
      </w:r>
    </w:p>
    <w:p w:rsidR="003D11BA" w:rsidRPr="00CF1EE6" w:rsidRDefault="003D11BA" w:rsidP="00212E31">
      <w:pPr>
        <w:pStyle w:val="EndNoteBibliography"/>
        <w:spacing w:after="0"/>
        <w:rPr>
          <w:color w:val="AEAAAA" w:themeColor="background2" w:themeShade="BF"/>
        </w:rPr>
      </w:pPr>
      <w:r w:rsidRPr="00CF1EE6">
        <w:rPr>
          <w:color w:val="AEAAAA" w:themeColor="background2" w:themeShade="BF"/>
        </w:rPr>
        <w:t>130.</w:t>
      </w:r>
      <w:r w:rsidRPr="00CF1EE6">
        <w:rPr>
          <w:color w:val="AEAAAA" w:themeColor="background2" w:themeShade="BF"/>
        </w:rPr>
        <w:tab/>
        <w:t>Regulation (EU) 2017/746 on in vitro diagnostic medical devices and repealing Directive 98/79/EC and Commission Decision 2010/227/EU, (2017).</w:t>
      </w:r>
    </w:p>
    <w:p w:rsidR="003D11BA" w:rsidRPr="00CF1EE6" w:rsidRDefault="003D11BA" w:rsidP="00212E31">
      <w:pPr>
        <w:pStyle w:val="EndNoteBibliography"/>
        <w:spacing w:after="0"/>
      </w:pPr>
      <w:r w:rsidRPr="00CF1EE6">
        <w:t>131.</w:t>
      </w:r>
      <w:r w:rsidRPr="00CF1EE6">
        <w:tab/>
      </w:r>
      <w:r w:rsidR="00CF1EE6" w:rsidRPr="00CF1EE6">
        <w:t xml:space="preserve">Joint Committee for Guides in Metrology. </w:t>
      </w:r>
      <w:r w:rsidRPr="00CF1EE6">
        <w:t>JCGM 200:2012: International vocabulary of metrology – Basic and general concepts and associated terms (VIM).</w:t>
      </w:r>
      <w:r w:rsidR="00CF1EE6" w:rsidRPr="00CF1EE6">
        <w:t>JCGM</w:t>
      </w:r>
      <w:r w:rsidRPr="00CF1EE6">
        <w:t>; 2012.</w:t>
      </w:r>
    </w:p>
    <w:p w:rsidR="003D11BA" w:rsidRPr="00FE7CC5" w:rsidRDefault="003D11BA" w:rsidP="00212E31">
      <w:pPr>
        <w:pStyle w:val="EndNoteBibliography"/>
        <w:spacing w:after="0"/>
      </w:pPr>
      <w:r w:rsidRPr="00FE7CC5">
        <w:lastRenderedPageBreak/>
        <w:t>132.</w:t>
      </w:r>
      <w:r w:rsidRPr="00FE7CC5">
        <w:tab/>
      </w:r>
      <w:r w:rsidR="000E2EA8" w:rsidRPr="00FE7CC5">
        <w:t>International Organization for Standardization</w:t>
      </w:r>
      <w:r w:rsidR="000E2EA8">
        <w:t>.</w:t>
      </w:r>
      <w:r w:rsidR="000E2EA8" w:rsidRPr="00FE7CC5">
        <w:t xml:space="preserve"> </w:t>
      </w:r>
      <w:r w:rsidRPr="00FE7CC5">
        <w:t>ISO 9000:2005 Quality Management Systems – Fundamentals and Vocabulary Geneva, Switzerland:</w:t>
      </w:r>
      <w:r w:rsidR="000E2EA8">
        <w:t xml:space="preserve"> ISO</w:t>
      </w:r>
      <w:r w:rsidRPr="00FE7CC5">
        <w:t>; 2005.</w:t>
      </w:r>
    </w:p>
    <w:p w:rsidR="003D11BA" w:rsidRPr="00605638" w:rsidRDefault="003D11BA" w:rsidP="00212E31">
      <w:pPr>
        <w:pStyle w:val="EndNoteBibliography"/>
        <w:spacing w:after="0"/>
        <w:rPr>
          <w:color w:val="AEAAAA" w:themeColor="background2" w:themeShade="BF"/>
        </w:rPr>
      </w:pPr>
      <w:r w:rsidRPr="00CF1EE6">
        <w:rPr>
          <w:color w:val="AEAAAA" w:themeColor="background2" w:themeShade="BF"/>
        </w:rPr>
        <w:t>133.</w:t>
      </w:r>
      <w:r w:rsidRPr="00CF1EE6">
        <w:rPr>
          <w:color w:val="AEAAAA" w:themeColor="background2" w:themeShade="BF"/>
        </w:rPr>
        <w:tab/>
      </w:r>
      <w:r w:rsidR="00CF1EE6" w:rsidRPr="00CF1EE6">
        <w:rPr>
          <w:color w:val="AEAAAA" w:themeColor="background2" w:themeShade="BF"/>
        </w:rPr>
        <w:t>College of American Pathologists.</w:t>
      </w:r>
      <w:r w:rsidRPr="00CF1EE6">
        <w:rPr>
          <w:color w:val="AEAAAA" w:themeColor="background2" w:themeShade="BF"/>
        </w:rPr>
        <w:t xml:space="preserve"> </w:t>
      </w:r>
      <w:r w:rsidRPr="00605638">
        <w:rPr>
          <w:color w:val="AEAAAA" w:themeColor="background2" w:themeShade="BF"/>
        </w:rPr>
        <w:t>CAP – All Common Checklist</w:t>
      </w:r>
      <w:r w:rsidR="00CF1EE6" w:rsidRPr="00605638">
        <w:rPr>
          <w:color w:val="AEAAAA" w:themeColor="background2" w:themeShade="BF"/>
        </w:rPr>
        <w:t>;</w:t>
      </w:r>
      <w:r w:rsidRPr="00605638">
        <w:rPr>
          <w:color w:val="AEAAAA" w:themeColor="background2" w:themeShade="BF"/>
        </w:rPr>
        <w:t xml:space="preserve"> 2017.</w:t>
      </w:r>
    </w:p>
    <w:p w:rsidR="003D11BA" w:rsidRPr="00CF1EE6" w:rsidRDefault="003D11BA" w:rsidP="00212E31">
      <w:pPr>
        <w:pStyle w:val="EndNoteBibliography"/>
        <w:spacing w:after="0"/>
        <w:rPr>
          <w:lang w:val="nl-BE"/>
        </w:rPr>
      </w:pPr>
      <w:r w:rsidRPr="00CF1EE6">
        <w:rPr>
          <w:lang w:val="nl-BE"/>
        </w:rPr>
        <w:t>134.</w:t>
      </w:r>
      <w:r w:rsidRPr="00CF1EE6">
        <w:rPr>
          <w:lang w:val="nl-BE"/>
        </w:rPr>
        <w:tab/>
      </w:r>
      <w:r w:rsidR="00CF1EE6" w:rsidRPr="00CF1EE6">
        <w:rPr>
          <w:lang w:val="nl-BE"/>
        </w:rPr>
        <w:t xml:space="preserve">Nederlandse Vereniging voor Klinische Chemie en Laboratoriumgeneeskunde. </w:t>
      </w:r>
      <w:r w:rsidRPr="00CF1EE6">
        <w:rPr>
          <w:lang w:val="nl-BE"/>
        </w:rPr>
        <w:t>NVKC richtlijn Validatie en Verificatie van onderzoeksprocedures Editie 1. The Netherlands: NVKC; 2016.</w:t>
      </w:r>
    </w:p>
    <w:p w:rsidR="003D11BA" w:rsidRPr="00FE7CC5" w:rsidRDefault="003D11BA" w:rsidP="00212E31">
      <w:pPr>
        <w:pStyle w:val="EndNoteBibliography"/>
        <w:spacing w:after="0"/>
      </w:pPr>
      <w:r w:rsidRPr="00FE7CC5">
        <w:t>135.</w:t>
      </w:r>
      <w:r w:rsidRPr="00FE7CC5">
        <w:tab/>
      </w:r>
      <w:r w:rsidR="000E2EA8" w:rsidRPr="00FE7CC5">
        <w:t>Clinical and Laboratory Standards Institute</w:t>
      </w:r>
      <w:r w:rsidR="000E2EA8">
        <w:t xml:space="preserve">. </w:t>
      </w:r>
      <w:r w:rsidRPr="00FE7CC5">
        <w:t xml:space="preserve">CLSI  EP15-A3: User Verification of Precision and estimation of Bias. Approved Guideline – Third Edition. Wayne , PA, USA: </w:t>
      </w:r>
      <w:r w:rsidR="000E2EA8">
        <w:t>CLSI</w:t>
      </w:r>
      <w:r w:rsidRPr="00FE7CC5">
        <w:t>; 2014.</w:t>
      </w:r>
    </w:p>
    <w:p w:rsidR="003D11BA" w:rsidRPr="00FE7CC5" w:rsidRDefault="003D11BA" w:rsidP="00212E31">
      <w:pPr>
        <w:pStyle w:val="EndNoteBibliography"/>
        <w:spacing w:after="0"/>
      </w:pPr>
      <w:r w:rsidRPr="00FE7CC5">
        <w:t>136.</w:t>
      </w:r>
      <w:r w:rsidRPr="00FE7CC5">
        <w:tab/>
      </w:r>
      <w:r w:rsidR="000E2EA8" w:rsidRPr="00FE7CC5">
        <w:t>Clinical and Laboratory Standards Institute</w:t>
      </w:r>
      <w:r w:rsidR="000E2EA8">
        <w:t xml:space="preserve">. </w:t>
      </w:r>
      <w:r w:rsidRPr="00FE7CC5">
        <w:t xml:space="preserve">CLSI  EP12-A2: User protocol for evaluation of  qualitative test performance. Approved Guideline – Second edition. Wayne , PA, USA: </w:t>
      </w:r>
      <w:r w:rsidR="000E2EA8">
        <w:t>CLSI</w:t>
      </w:r>
      <w:r w:rsidRPr="00FE7CC5">
        <w:t>; 2008.</w:t>
      </w:r>
    </w:p>
    <w:p w:rsidR="003D11BA" w:rsidRPr="00FE7CC5" w:rsidRDefault="003D11BA" w:rsidP="00212E31">
      <w:pPr>
        <w:pStyle w:val="EndNoteBibliography"/>
        <w:spacing w:after="0"/>
      </w:pPr>
      <w:r w:rsidRPr="00FE7CC5">
        <w:t>137.</w:t>
      </w:r>
      <w:r w:rsidRPr="00FE7CC5">
        <w:tab/>
        <w:t xml:space="preserve">Pum J. A practical guide to validation and verification of analytical methods in the clinical laboratory. </w:t>
      </w:r>
      <w:r w:rsidR="000E2EA8">
        <w:t>Adv Clin Chem</w:t>
      </w:r>
      <w:r w:rsidRPr="00FE7CC5">
        <w:t>. 2019;90:215-81.</w:t>
      </w:r>
    </w:p>
    <w:p w:rsidR="003D11BA" w:rsidRPr="00FE7CC5" w:rsidRDefault="003D11BA" w:rsidP="00212E31">
      <w:pPr>
        <w:pStyle w:val="EndNoteBibliography"/>
        <w:spacing w:after="0"/>
      </w:pPr>
      <w:r w:rsidRPr="00FE7CC5">
        <w:t>138.</w:t>
      </w:r>
      <w:r w:rsidRPr="00FE7CC5">
        <w:tab/>
        <w:t xml:space="preserve">Pum JKW. Evaluation of analytical performance of qualitative and semi-quantitative assays in the clinical laboratory. </w:t>
      </w:r>
      <w:r w:rsidR="00C754E2">
        <w:t>Clin Chim Acta</w:t>
      </w:r>
      <w:r w:rsidRPr="00FE7CC5">
        <w:t>. 2019;497:197-203.</w:t>
      </w:r>
    </w:p>
    <w:p w:rsidR="003D11BA" w:rsidRPr="00FE7CC5" w:rsidRDefault="003D11BA" w:rsidP="00212E31">
      <w:pPr>
        <w:pStyle w:val="EndNoteBibliography"/>
        <w:spacing w:after="0"/>
      </w:pPr>
      <w:r w:rsidRPr="00FE7CC5">
        <w:t>139.</w:t>
      </w:r>
      <w:r w:rsidRPr="00FE7CC5">
        <w:tab/>
        <w:t>Munujos J. Autoimmune diagnostics by immune-fluorescence: variability and harmonization. CLI. 2016:38-41.</w:t>
      </w:r>
    </w:p>
    <w:p w:rsidR="003D11BA" w:rsidRPr="00FE7CC5" w:rsidRDefault="003D11BA" w:rsidP="00212E31">
      <w:pPr>
        <w:pStyle w:val="EndNoteBibliography"/>
        <w:spacing w:after="0"/>
      </w:pPr>
      <w:r w:rsidRPr="00FE7CC5">
        <w:t>140.</w:t>
      </w:r>
      <w:r w:rsidRPr="00FE7CC5">
        <w:tab/>
        <w:t>McHugh ML. Interrater reliability: the kappa statistic. Biochemia medica. 2012;22(3):276-82.</w:t>
      </w:r>
    </w:p>
    <w:p w:rsidR="003D11BA" w:rsidRPr="003D11BA" w:rsidRDefault="003D11BA" w:rsidP="00212E31">
      <w:pPr>
        <w:pStyle w:val="EndNoteBibliography"/>
        <w:spacing w:after="0"/>
        <w:rPr>
          <w:lang w:val="nl-BE"/>
        </w:rPr>
      </w:pPr>
      <w:r w:rsidRPr="00FE7CC5">
        <w:t>141.</w:t>
      </w:r>
      <w:r w:rsidRPr="00FE7CC5">
        <w:tab/>
        <w:t xml:space="preserve">Mulder L, van der Molen R, Koelman C, van Leeuwen E, Roos A, Damoiseaux J. Validation conform ISO-15189 of assays in the field of autoimmunity: Joint efforts in The Netherlands. </w:t>
      </w:r>
      <w:r w:rsidR="00C42DD9">
        <w:rPr>
          <w:lang w:val="nl-BE"/>
        </w:rPr>
        <w:t>Autoimmun Rev</w:t>
      </w:r>
      <w:r w:rsidRPr="003D11BA">
        <w:rPr>
          <w:lang w:val="nl-BE"/>
        </w:rPr>
        <w:t>. 2018;17(5):513-7.</w:t>
      </w:r>
    </w:p>
    <w:p w:rsidR="003D11BA" w:rsidRPr="00CF1EE6" w:rsidRDefault="003D11BA" w:rsidP="00212E31">
      <w:pPr>
        <w:pStyle w:val="EndNoteBibliography"/>
        <w:spacing w:after="0"/>
        <w:rPr>
          <w:lang w:val="nl-BE"/>
        </w:rPr>
      </w:pPr>
      <w:r w:rsidRPr="00CF1EE6">
        <w:rPr>
          <w:lang w:val="nl-BE"/>
        </w:rPr>
        <w:t>142.</w:t>
      </w:r>
      <w:r w:rsidRPr="00CF1EE6">
        <w:rPr>
          <w:lang w:val="nl-BE"/>
        </w:rPr>
        <w:tab/>
      </w:r>
      <w:r w:rsidR="00CF1EE6" w:rsidRPr="00CF1EE6">
        <w:rPr>
          <w:lang w:val="nl-BE"/>
        </w:rPr>
        <w:t xml:space="preserve">Commissie voor Klinische Biologie. </w:t>
      </w:r>
      <w:r w:rsidRPr="00CF1EE6">
        <w:rPr>
          <w:lang w:val="nl-BE"/>
        </w:rPr>
        <w:t>Praktijkrichtlijn voor het opzetten van een kwaliteitshandboek in de erkende laboratoria voor klinische biologie werkzaam binnen het kader van het Erkenningsbesluit. Versie 3. Belgium: Commissie voor Klinische Biologie; 2017.</w:t>
      </w:r>
    </w:p>
    <w:p w:rsidR="003D11BA" w:rsidRPr="00FE7CC5" w:rsidRDefault="003D11BA" w:rsidP="00212E31">
      <w:pPr>
        <w:pStyle w:val="EndNoteBibliography"/>
        <w:spacing w:after="0"/>
      </w:pPr>
      <w:r w:rsidRPr="003D11BA">
        <w:rPr>
          <w:lang w:val="nl-BE"/>
        </w:rPr>
        <w:t>143.</w:t>
      </w:r>
      <w:r w:rsidRPr="003D11BA">
        <w:rPr>
          <w:lang w:val="nl-BE"/>
        </w:rPr>
        <w:tab/>
        <w:t xml:space="preserve">Senant M, Musset L, Chyderiotis G, Guis-Cabanne L, Damoiseaux J, Fabien N, et al. </w:t>
      </w:r>
      <w:r w:rsidRPr="00FE7CC5">
        <w:t xml:space="preserve">Precision of autoantibody assays in clinical diagnostic laboratories: What is the reality? </w:t>
      </w:r>
      <w:r w:rsidR="000E2EA8">
        <w:t>Clin Biochem</w:t>
      </w:r>
      <w:r w:rsidRPr="00FE7CC5">
        <w:t xml:space="preserve"> 2020;83:57-64.</w:t>
      </w:r>
    </w:p>
    <w:p w:rsidR="003D11BA" w:rsidRPr="00FE7CC5" w:rsidRDefault="003D11BA" w:rsidP="00212E31">
      <w:pPr>
        <w:pStyle w:val="EndNoteBibliography"/>
        <w:spacing w:after="0"/>
      </w:pPr>
      <w:r w:rsidRPr="00FE7CC5">
        <w:t>144.</w:t>
      </w:r>
      <w:r w:rsidRPr="00FE7CC5">
        <w:tab/>
      </w:r>
      <w:r w:rsidR="000E2EA8" w:rsidRPr="00FE7CC5">
        <w:t>Clinical and Laboratory Standards Institute</w:t>
      </w:r>
      <w:r w:rsidR="000E2EA8">
        <w:t>.</w:t>
      </w:r>
      <w:r w:rsidR="000E2EA8" w:rsidRPr="00FE7CC5">
        <w:t xml:space="preserve"> </w:t>
      </w:r>
      <w:r w:rsidRPr="00FE7CC5">
        <w:t>CLSI EP05-A3: Evaluation of Precision of Quantitative Measurment Procedures. Approved Guideline – Third Edition Wayne , PA, USA:</w:t>
      </w:r>
      <w:r w:rsidR="000E2EA8">
        <w:t>CLSI</w:t>
      </w:r>
      <w:r w:rsidRPr="00FE7CC5">
        <w:t>; 2014.</w:t>
      </w:r>
    </w:p>
    <w:p w:rsidR="003D11BA" w:rsidRPr="00605638" w:rsidRDefault="003D11BA" w:rsidP="00212E31">
      <w:pPr>
        <w:pStyle w:val="EndNoteBibliography"/>
        <w:spacing w:after="0"/>
        <w:rPr>
          <w:lang w:val="fr-FR"/>
        </w:rPr>
      </w:pPr>
      <w:r w:rsidRPr="00FE7CC5">
        <w:t>145.</w:t>
      </w:r>
      <w:r w:rsidRPr="00FE7CC5">
        <w:tab/>
        <w:t xml:space="preserve">Ma WT, Chang C, Gershwin ME, Lian ZX. Development of autoantibodies precedes clinical manifestations of autoimmune diseases: A comprehensive review. </w:t>
      </w:r>
      <w:r w:rsidR="000E2EA8" w:rsidRPr="00605638">
        <w:rPr>
          <w:lang w:val="fr-FR"/>
        </w:rPr>
        <w:t>J Autoimmun</w:t>
      </w:r>
      <w:r w:rsidRPr="00605638">
        <w:rPr>
          <w:lang w:val="fr-FR"/>
        </w:rPr>
        <w:t>. 2017;83:95-112.</w:t>
      </w:r>
    </w:p>
    <w:p w:rsidR="003D11BA" w:rsidRPr="00605638" w:rsidRDefault="003D11BA" w:rsidP="00212E31">
      <w:pPr>
        <w:pStyle w:val="EndNoteBibliography"/>
        <w:spacing w:after="0"/>
        <w:rPr>
          <w:lang w:val="fr-FR"/>
        </w:rPr>
      </w:pPr>
      <w:r w:rsidRPr="00605638">
        <w:rPr>
          <w:lang w:val="fr-FR"/>
        </w:rPr>
        <w:t>146.</w:t>
      </w:r>
      <w:r w:rsidRPr="00605638">
        <w:rPr>
          <w:lang w:val="fr-FR"/>
        </w:rPr>
        <w:tab/>
      </w:r>
      <w:r w:rsidR="00CF1EE6" w:rsidRPr="00605638">
        <w:rPr>
          <w:lang w:val="fr-FR"/>
        </w:rPr>
        <w:t xml:space="preserve">Comité Français d’Accréditation. </w:t>
      </w:r>
      <w:r w:rsidRPr="00605638">
        <w:rPr>
          <w:lang w:val="fr-FR"/>
        </w:rPr>
        <w:t>Expression et évaluation des portées d’accréditation. Document SH REF 08 -Révision 06. Paris, France:</w:t>
      </w:r>
      <w:r w:rsidR="00CF1EE6" w:rsidRPr="00605638">
        <w:rPr>
          <w:lang w:val="fr-FR"/>
        </w:rPr>
        <w:t>COFRAC</w:t>
      </w:r>
      <w:r w:rsidRPr="00605638">
        <w:rPr>
          <w:lang w:val="fr-FR"/>
        </w:rPr>
        <w:t>.</w:t>
      </w:r>
    </w:p>
    <w:p w:rsidR="003D11BA" w:rsidRPr="00605638" w:rsidRDefault="003D11BA" w:rsidP="00212E31">
      <w:pPr>
        <w:pStyle w:val="EndNoteBibliography"/>
        <w:spacing w:after="0"/>
        <w:rPr>
          <w:lang w:val="fr-FR"/>
        </w:rPr>
      </w:pPr>
      <w:r w:rsidRPr="00605638">
        <w:rPr>
          <w:lang w:val="fr-FR"/>
        </w:rPr>
        <w:t>147.</w:t>
      </w:r>
      <w:r w:rsidRPr="00605638">
        <w:rPr>
          <w:lang w:val="fr-FR"/>
        </w:rPr>
        <w:tab/>
      </w:r>
      <w:r w:rsidR="00CF1EE6" w:rsidRPr="00605638">
        <w:rPr>
          <w:lang w:val="fr-FR"/>
        </w:rPr>
        <w:t xml:space="preserve">Comité Français d’Accréditation. </w:t>
      </w:r>
      <w:r w:rsidRPr="00605638">
        <w:rPr>
          <w:lang w:val="fr-FR"/>
        </w:rPr>
        <w:t xml:space="preserve">Exigences pour l’accréditation selon les normes NF EN ISO15189 et NF EN ISO 22870. Document SH REF02 –Révision 06. Paris, France: </w:t>
      </w:r>
      <w:r w:rsidR="00CF1EE6" w:rsidRPr="00605638">
        <w:rPr>
          <w:lang w:val="fr-FR"/>
        </w:rPr>
        <w:t>COFRAC</w:t>
      </w:r>
      <w:r w:rsidRPr="00605638">
        <w:rPr>
          <w:lang w:val="fr-FR"/>
        </w:rPr>
        <w:t>.</w:t>
      </w:r>
    </w:p>
    <w:p w:rsidR="003D11BA" w:rsidRPr="00FE7CC5" w:rsidRDefault="003D11BA" w:rsidP="00212E31">
      <w:pPr>
        <w:pStyle w:val="EndNoteBibliography"/>
      </w:pPr>
      <w:r w:rsidRPr="00605638">
        <w:rPr>
          <w:lang w:val="fr-FR"/>
        </w:rPr>
        <w:t>148.</w:t>
      </w:r>
      <w:r w:rsidRPr="00605638">
        <w:rPr>
          <w:lang w:val="fr-FR"/>
        </w:rPr>
        <w:tab/>
        <w:t xml:space="preserve">Van Blerk M, Bossuyt X, Humbel R, Mewis A, Servais G, Tomasi JP, et al. </w:t>
      </w:r>
      <w:r w:rsidRPr="00FE7CC5">
        <w:t>Belgian recommendations on ANA, anti-dsDNA and anti-ENA antibody testing. Acta clinica Belgica. 2014;69(2):83-6.</w:t>
      </w:r>
    </w:p>
    <w:p w:rsidR="003D11BA" w:rsidRDefault="003D11BA" w:rsidP="00212E31">
      <w:pPr>
        <w:spacing w:line="240" w:lineRule="auto"/>
        <w:jc w:val="both"/>
        <w:rPr>
          <w:lang w:val="en-CA"/>
        </w:rPr>
      </w:pPr>
    </w:p>
    <w:p w:rsidR="003D11BA" w:rsidRDefault="003D11BA" w:rsidP="00212E31">
      <w:pPr>
        <w:spacing w:line="240" w:lineRule="auto"/>
        <w:jc w:val="both"/>
        <w:rPr>
          <w:lang w:val="en-CA"/>
        </w:rPr>
      </w:pPr>
    </w:p>
    <w:p w:rsidR="00212E31" w:rsidRDefault="00212E31"/>
    <w:sectPr w:rsidR="00212E31" w:rsidSect="00212E31">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A92" w:rsidRDefault="002E5D1F">
      <w:pPr>
        <w:spacing w:after="0" w:line="240" w:lineRule="auto"/>
      </w:pPr>
      <w:r>
        <w:separator/>
      </w:r>
    </w:p>
  </w:endnote>
  <w:endnote w:type="continuationSeparator" w:id="0">
    <w:p w:rsidR="00576A92" w:rsidRDefault="002E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Pro-LightCn">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ff9">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Tc8c83e5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122897"/>
      <w:docPartObj>
        <w:docPartGallery w:val="Page Numbers (Bottom of Page)"/>
        <w:docPartUnique/>
      </w:docPartObj>
    </w:sdtPr>
    <w:sdtEndPr/>
    <w:sdtContent>
      <w:p w:rsidR="00212E31" w:rsidRDefault="00212E31">
        <w:pPr>
          <w:pStyle w:val="Footer"/>
        </w:pPr>
        <w:r>
          <w:rPr>
            <w:noProof/>
            <w:lang w:eastAsia="nl-BE"/>
          </w:rPr>
          <mc:AlternateContent>
            <mc:Choice Requires="wps">
              <w:drawing>
                <wp:anchor distT="0" distB="0" distL="114300" distR="114300" simplePos="0" relativeHeight="251659264" behindDoc="0" locked="0" layoutInCell="1" allowOverlap="1" wp14:anchorId="2D1BB4D4" wp14:editId="1AF4FBAA">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12E31" w:rsidRDefault="00212E3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A415F" w:rsidRPr="00CA415F">
                                <w:rPr>
                                  <w:noProof/>
                                  <w:color w:val="ED7D31" w:themeColor="accent2"/>
                                  <w:lang w:val="nl-NL"/>
                                </w:rPr>
                                <w:t>17</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D1BB4D4"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212E31" w:rsidRDefault="00212E31">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A415F" w:rsidRPr="00CA415F">
                          <w:rPr>
                            <w:noProof/>
                            <w:color w:val="ED7D31" w:themeColor="accent2"/>
                            <w:lang w:val="nl-NL"/>
                          </w:rPr>
                          <w:t>17</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A92" w:rsidRDefault="002E5D1F">
      <w:pPr>
        <w:spacing w:after="0" w:line="240" w:lineRule="auto"/>
      </w:pPr>
      <w:r>
        <w:separator/>
      </w:r>
    </w:p>
  </w:footnote>
  <w:footnote w:type="continuationSeparator" w:id="0">
    <w:p w:rsidR="00576A92" w:rsidRDefault="002E5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6A8"/>
    <w:multiLevelType w:val="hybridMultilevel"/>
    <w:tmpl w:val="C94AD78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A315B9"/>
    <w:multiLevelType w:val="hybridMultilevel"/>
    <w:tmpl w:val="2572CDD4"/>
    <w:lvl w:ilvl="0" w:tplc="B8B207C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6E08C5"/>
    <w:multiLevelType w:val="hybridMultilevel"/>
    <w:tmpl w:val="48626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A854911"/>
    <w:multiLevelType w:val="hybridMultilevel"/>
    <w:tmpl w:val="79F6734E"/>
    <w:lvl w:ilvl="0" w:tplc="9DA8C2CA">
      <w:start w:val="4"/>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7E7F56"/>
    <w:multiLevelType w:val="hybridMultilevel"/>
    <w:tmpl w:val="AE521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D676680"/>
    <w:multiLevelType w:val="hybridMultilevel"/>
    <w:tmpl w:val="0DE8D076"/>
    <w:lvl w:ilvl="0" w:tplc="123CC5C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F0D08DA"/>
    <w:multiLevelType w:val="hybridMultilevel"/>
    <w:tmpl w:val="97423C9E"/>
    <w:lvl w:ilvl="0" w:tplc="B8B207CE">
      <w:start w:val="1"/>
      <w:numFmt w:val="bullet"/>
      <w:lvlText w:val=""/>
      <w:lvlJc w:val="left"/>
      <w:pPr>
        <w:ind w:left="720" w:hanging="360"/>
      </w:pPr>
      <w:rPr>
        <w:rFonts w:ascii="Symbol" w:hAnsi="Symbol" w:hint="default"/>
      </w:rPr>
    </w:lvl>
    <w:lvl w:ilvl="1" w:tplc="123CC5CE">
      <w:start w:val="2"/>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30A2D54"/>
    <w:multiLevelType w:val="hybridMultilevel"/>
    <w:tmpl w:val="43407CEE"/>
    <w:lvl w:ilvl="0" w:tplc="08130001">
      <w:start w:val="1"/>
      <w:numFmt w:val="bullet"/>
      <w:lvlText w:val=""/>
      <w:lvlJc w:val="left"/>
      <w:pPr>
        <w:ind w:left="761" w:hanging="360"/>
      </w:pPr>
      <w:rPr>
        <w:rFonts w:ascii="Symbol" w:hAnsi="Symbol" w:hint="default"/>
      </w:rPr>
    </w:lvl>
    <w:lvl w:ilvl="1" w:tplc="08130003" w:tentative="1">
      <w:start w:val="1"/>
      <w:numFmt w:val="bullet"/>
      <w:lvlText w:val="o"/>
      <w:lvlJc w:val="left"/>
      <w:pPr>
        <w:ind w:left="1481" w:hanging="360"/>
      </w:pPr>
      <w:rPr>
        <w:rFonts w:ascii="Courier New" w:hAnsi="Courier New" w:cs="Courier New" w:hint="default"/>
      </w:rPr>
    </w:lvl>
    <w:lvl w:ilvl="2" w:tplc="08130005" w:tentative="1">
      <w:start w:val="1"/>
      <w:numFmt w:val="bullet"/>
      <w:lvlText w:val=""/>
      <w:lvlJc w:val="left"/>
      <w:pPr>
        <w:ind w:left="2201" w:hanging="360"/>
      </w:pPr>
      <w:rPr>
        <w:rFonts w:ascii="Wingdings" w:hAnsi="Wingdings" w:hint="default"/>
      </w:rPr>
    </w:lvl>
    <w:lvl w:ilvl="3" w:tplc="08130001" w:tentative="1">
      <w:start w:val="1"/>
      <w:numFmt w:val="bullet"/>
      <w:lvlText w:val=""/>
      <w:lvlJc w:val="left"/>
      <w:pPr>
        <w:ind w:left="2921" w:hanging="360"/>
      </w:pPr>
      <w:rPr>
        <w:rFonts w:ascii="Symbol" w:hAnsi="Symbol" w:hint="default"/>
      </w:rPr>
    </w:lvl>
    <w:lvl w:ilvl="4" w:tplc="08130003" w:tentative="1">
      <w:start w:val="1"/>
      <w:numFmt w:val="bullet"/>
      <w:lvlText w:val="o"/>
      <w:lvlJc w:val="left"/>
      <w:pPr>
        <w:ind w:left="3641" w:hanging="360"/>
      </w:pPr>
      <w:rPr>
        <w:rFonts w:ascii="Courier New" w:hAnsi="Courier New" w:cs="Courier New" w:hint="default"/>
      </w:rPr>
    </w:lvl>
    <w:lvl w:ilvl="5" w:tplc="08130005" w:tentative="1">
      <w:start w:val="1"/>
      <w:numFmt w:val="bullet"/>
      <w:lvlText w:val=""/>
      <w:lvlJc w:val="left"/>
      <w:pPr>
        <w:ind w:left="4361" w:hanging="360"/>
      </w:pPr>
      <w:rPr>
        <w:rFonts w:ascii="Wingdings" w:hAnsi="Wingdings" w:hint="default"/>
      </w:rPr>
    </w:lvl>
    <w:lvl w:ilvl="6" w:tplc="08130001" w:tentative="1">
      <w:start w:val="1"/>
      <w:numFmt w:val="bullet"/>
      <w:lvlText w:val=""/>
      <w:lvlJc w:val="left"/>
      <w:pPr>
        <w:ind w:left="5081" w:hanging="360"/>
      </w:pPr>
      <w:rPr>
        <w:rFonts w:ascii="Symbol" w:hAnsi="Symbol" w:hint="default"/>
      </w:rPr>
    </w:lvl>
    <w:lvl w:ilvl="7" w:tplc="08130003" w:tentative="1">
      <w:start w:val="1"/>
      <w:numFmt w:val="bullet"/>
      <w:lvlText w:val="o"/>
      <w:lvlJc w:val="left"/>
      <w:pPr>
        <w:ind w:left="5801" w:hanging="360"/>
      </w:pPr>
      <w:rPr>
        <w:rFonts w:ascii="Courier New" w:hAnsi="Courier New" w:cs="Courier New" w:hint="default"/>
      </w:rPr>
    </w:lvl>
    <w:lvl w:ilvl="8" w:tplc="08130005" w:tentative="1">
      <w:start w:val="1"/>
      <w:numFmt w:val="bullet"/>
      <w:lvlText w:val=""/>
      <w:lvlJc w:val="left"/>
      <w:pPr>
        <w:ind w:left="6521" w:hanging="360"/>
      </w:pPr>
      <w:rPr>
        <w:rFonts w:ascii="Wingdings" w:hAnsi="Wingdings" w:hint="default"/>
      </w:rPr>
    </w:lvl>
  </w:abstractNum>
  <w:abstractNum w:abstractNumId="8" w15:restartNumberingAfterBreak="0">
    <w:nsid w:val="149B20AA"/>
    <w:multiLevelType w:val="hybridMultilevel"/>
    <w:tmpl w:val="A03A427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78B6267"/>
    <w:multiLevelType w:val="hybridMultilevel"/>
    <w:tmpl w:val="B784F144"/>
    <w:lvl w:ilvl="0" w:tplc="EAAA0756">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BF11F45"/>
    <w:multiLevelType w:val="hybridMultilevel"/>
    <w:tmpl w:val="BE766A80"/>
    <w:lvl w:ilvl="0" w:tplc="B8B207C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3D7AFA"/>
    <w:multiLevelType w:val="hybridMultilevel"/>
    <w:tmpl w:val="4EE053A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C8F4C49"/>
    <w:multiLevelType w:val="hybridMultilevel"/>
    <w:tmpl w:val="D27A2E4A"/>
    <w:lvl w:ilvl="0" w:tplc="A8A8A72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F16555A"/>
    <w:multiLevelType w:val="hybridMultilevel"/>
    <w:tmpl w:val="4CA8183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F5D6661"/>
    <w:multiLevelType w:val="hybridMultilevel"/>
    <w:tmpl w:val="B136D136"/>
    <w:lvl w:ilvl="0" w:tplc="123CC5C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0993B05"/>
    <w:multiLevelType w:val="hybridMultilevel"/>
    <w:tmpl w:val="E7E49F2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249024F"/>
    <w:multiLevelType w:val="hybridMultilevel"/>
    <w:tmpl w:val="912E2E6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72E5273"/>
    <w:multiLevelType w:val="hybridMultilevel"/>
    <w:tmpl w:val="79145A98"/>
    <w:lvl w:ilvl="0" w:tplc="B8B207CE">
      <w:start w:val="1"/>
      <w:numFmt w:val="bullet"/>
      <w:lvlText w:val=""/>
      <w:lvlJc w:val="left"/>
      <w:pPr>
        <w:ind w:left="720" w:hanging="360"/>
      </w:pPr>
      <w:rPr>
        <w:rFonts w:ascii="Symbol" w:hAnsi="Symbol" w:hint="default"/>
      </w:rPr>
    </w:lvl>
    <w:lvl w:ilvl="1" w:tplc="123CC5CE">
      <w:start w:val="2"/>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0061D34"/>
    <w:multiLevelType w:val="hybridMultilevel"/>
    <w:tmpl w:val="57167CF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5065972"/>
    <w:multiLevelType w:val="hybridMultilevel"/>
    <w:tmpl w:val="83A0052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7341216"/>
    <w:multiLevelType w:val="hybridMultilevel"/>
    <w:tmpl w:val="24D6A7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ADF3D5F"/>
    <w:multiLevelType w:val="hybridMultilevel"/>
    <w:tmpl w:val="5548237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EEB7CD8"/>
    <w:multiLevelType w:val="hybridMultilevel"/>
    <w:tmpl w:val="6D20DC02"/>
    <w:lvl w:ilvl="0" w:tplc="B8B207CE">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1C42C66"/>
    <w:multiLevelType w:val="hybridMultilevel"/>
    <w:tmpl w:val="F184F002"/>
    <w:lvl w:ilvl="0" w:tplc="08130001">
      <w:start w:val="1"/>
      <w:numFmt w:val="bullet"/>
      <w:lvlText w:val=""/>
      <w:lvlJc w:val="left"/>
      <w:pPr>
        <w:ind w:left="1037" w:hanging="360"/>
      </w:pPr>
      <w:rPr>
        <w:rFonts w:ascii="Symbol" w:hAnsi="Symbol" w:hint="default"/>
      </w:rPr>
    </w:lvl>
    <w:lvl w:ilvl="1" w:tplc="08130003" w:tentative="1">
      <w:start w:val="1"/>
      <w:numFmt w:val="bullet"/>
      <w:lvlText w:val="o"/>
      <w:lvlJc w:val="left"/>
      <w:pPr>
        <w:ind w:left="1757" w:hanging="360"/>
      </w:pPr>
      <w:rPr>
        <w:rFonts w:ascii="Courier New" w:hAnsi="Courier New" w:cs="Courier New" w:hint="default"/>
      </w:rPr>
    </w:lvl>
    <w:lvl w:ilvl="2" w:tplc="08130005" w:tentative="1">
      <w:start w:val="1"/>
      <w:numFmt w:val="bullet"/>
      <w:lvlText w:val=""/>
      <w:lvlJc w:val="left"/>
      <w:pPr>
        <w:ind w:left="2477" w:hanging="360"/>
      </w:pPr>
      <w:rPr>
        <w:rFonts w:ascii="Wingdings" w:hAnsi="Wingdings" w:hint="default"/>
      </w:rPr>
    </w:lvl>
    <w:lvl w:ilvl="3" w:tplc="08130001" w:tentative="1">
      <w:start w:val="1"/>
      <w:numFmt w:val="bullet"/>
      <w:lvlText w:val=""/>
      <w:lvlJc w:val="left"/>
      <w:pPr>
        <w:ind w:left="3197" w:hanging="360"/>
      </w:pPr>
      <w:rPr>
        <w:rFonts w:ascii="Symbol" w:hAnsi="Symbol" w:hint="default"/>
      </w:rPr>
    </w:lvl>
    <w:lvl w:ilvl="4" w:tplc="08130003" w:tentative="1">
      <w:start w:val="1"/>
      <w:numFmt w:val="bullet"/>
      <w:lvlText w:val="o"/>
      <w:lvlJc w:val="left"/>
      <w:pPr>
        <w:ind w:left="3917" w:hanging="360"/>
      </w:pPr>
      <w:rPr>
        <w:rFonts w:ascii="Courier New" w:hAnsi="Courier New" w:cs="Courier New" w:hint="default"/>
      </w:rPr>
    </w:lvl>
    <w:lvl w:ilvl="5" w:tplc="08130005" w:tentative="1">
      <w:start w:val="1"/>
      <w:numFmt w:val="bullet"/>
      <w:lvlText w:val=""/>
      <w:lvlJc w:val="left"/>
      <w:pPr>
        <w:ind w:left="4637" w:hanging="360"/>
      </w:pPr>
      <w:rPr>
        <w:rFonts w:ascii="Wingdings" w:hAnsi="Wingdings" w:hint="default"/>
      </w:rPr>
    </w:lvl>
    <w:lvl w:ilvl="6" w:tplc="08130001" w:tentative="1">
      <w:start w:val="1"/>
      <w:numFmt w:val="bullet"/>
      <w:lvlText w:val=""/>
      <w:lvlJc w:val="left"/>
      <w:pPr>
        <w:ind w:left="5357" w:hanging="360"/>
      </w:pPr>
      <w:rPr>
        <w:rFonts w:ascii="Symbol" w:hAnsi="Symbol" w:hint="default"/>
      </w:rPr>
    </w:lvl>
    <w:lvl w:ilvl="7" w:tplc="08130003" w:tentative="1">
      <w:start w:val="1"/>
      <w:numFmt w:val="bullet"/>
      <w:lvlText w:val="o"/>
      <w:lvlJc w:val="left"/>
      <w:pPr>
        <w:ind w:left="6077" w:hanging="360"/>
      </w:pPr>
      <w:rPr>
        <w:rFonts w:ascii="Courier New" w:hAnsi="Courier New" w:cs="Courier New" w:hint="default"/>
      </w:rPr>
    </w:lvl>
    <w:lvl w:ilvl="8" w:tplc="08130005" w:tentative="1">
      <w:start w:val="1"/>
      <w:numFmt w:val="bullet"/>
      <w:lvlText w:val=""/>
      <w:lvlJc w:val="left"/>
      <w:pPr>
        <w:ind w:left="6797" w:hanging="360"/>
      </w:pPr>
      <w:rPr>
        <w:rFonts w:ascii="Wingdings" w:hAnsi="Wingdings" w:hint="default"/>
      </w:rPr>
    </w:lvl>
  </w:abstractNum>
  <w:abstractNum w:abstractNumId="24" w15:restartNumberingAfterBreak="0">
    <w:nsid w:val="43060CA5"/>
    <w:multiLevelType w:val="hybridMultilevel"/>
    <w:tmpl w:val="7410EA2E"/>
    <w:lvl w:ilvl="0" w:tplc="B8B207CE">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6C82536"/>
    <w:multiLevelType w:val="hybridMultilevel"/>
    <w:tmpl w:val="2738D7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CE2AF2"/>
    <w:multiLevelType w:val="hybridMultilevel"/>
    <w:tmpl w:val="05C6EA3A"/>
    <w:lvl w:ilvl="0" w:tplc="A9B27D14">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BC5958"/>
    <w:multiLevelType w:val="hybridMultilevel"/>
    <w:tmpl w:val="A384736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1697CCC"/>
    <w:multiLevelType w:val="hybridMultilevel"/>
    <w:tmpl w:val="F7D43790"/>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175481C"/>
    <w:multiLevelType w:val="hybridMultilevel"/>
    <w:tmpl w:val="4B66F3F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24020B6"/>
    <w:multiLevelType w:val="hybridMultilevel"/>
    <w:tmpl w:val="38C8DDE0"/>
    <w:lvl w:ilvl="0" w:tplc="123CC5CE">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33851A5"/>
    <w:multiLevelType w:val="hybridMultilevel"/>
    <w:tmpl w:val="F01E55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5AE335D"/>
    <w:multiLevelType w:val="hybridMultilevel"/>
    <w:tmpl w:val="66CC02A4"/>
    <w:lvl w:ilvl="0" w:tplc="B8B207CE">
      <w:start w:val="1"/>
      <w:numFmt w:val="bullet"/>
      <w:lvlText w:val=""/>
      <w:lvlJc w:val="left"/>
      <w:pPr>
        <w:ind w:left="720" w:hanging="360"/>
      </w:pPr>
      <w:rPr>
        <w:rFonts w:ascii="Symbol" w:hAnsi="Symbol" w:hint="default"/>
      </w:rPr>
    </w:lvl>
    <w:lvl w:ilvl="1" w:tplc="123CC5CE">
      <w:start w:val="2"/>
      <w:numFmt w:val="bullet"/>
      <w:lvlText w:val="-"/>
      <w:lvlJc w:val="left"/>
      <w:pPr>
        <w:ind w:left="1440" w:hanging="360"/>
      </w:pPr>
      <w:rPr>
        <w:rFonts w:ascii="Calibri" w:eastAsiaTheme="minorHAnsi" w:hAnsi="Calibri" w:cs="Calibr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903045D"/>
    <w:multiLevelType w:val="hybridMultilevel"/>
    <w:tmpl w:val="1116DC0A"/>
    <w:lvl w:ilvl="0" w:tplc="123CC5C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C9B6767"/>
    <w:multiLevelType w:val="hybridMultilevel"/>
    <w:tmpl w:val="651EA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5" w15:restartNumberingAfterBreak="0">
    <w:nsid w:val="5D140E3D"/>
    <w:multiLevelType w:val="hybridMultilevel"/>
    <w:tmpl w:val="BA56030E"/>
    <w:lvl w:ilvl="0" w:tplc="08130001">
      <w:start w:val="1"/>
      <w:numFmt w:val="bullet"/>
      <w:lvlText w:val=""/>
      <w:lvlJc w:val="left"/>
      <w:pPr>
        <w:ind w:left="1883" w:hanging="360"/>
      </w:pPr>
      <w:rPr>
        <w:rFonts w:ascii="Symbol" w:hAnsi="Symbol" w:hint="default"/>
      </w:rPr>
    </w:lvl>
    <w:lvl w:ilvl="1" w:tplc="08130003" w:tentative="1">
      <w:start w:val="1"/>
      <w:numFmt w:val="bullet"/>
      <w:lvlText w:val="o"/>
      <w:lvlJc w:val="left"/>
      <w:pPr>
        <w:ind w:left="2603" w:hanging="360"/>
      </w:pPr>
      <w:rPr>
        <w:rFonts w:ascii="Courier New" w:hAnsi="Courier New" w:cs="Courier New" w:hint="default"/>
      </w:rPr>
    </w:lvl>
    <w:lvl w:ilvl="2" w:tplc="08130005" w:tentative="1">
      <w:start w:val="1"/>
      <w:numFmt w:val="bullet"/>
      <w:lvlText w:val=""/>
      <w:lvlJc w:val="left"/>
      <w:pPr>
        <w:ind w:left="3323" w:hanging="360"/>
      </w:pPr>
      <w:rPr>
        <w:rFonts w:ascii="Wingdings" w:hAnsi="Wingdings" w:hint="default"/>
      </w:rPr>
    </w:lvl>
    <w:lvl w:ilvl="3" w:tplc="08130001" w:tentative="1">
      <w:start w:val="1"/>
      <w:numFmt w:val="bullet"/>
      <w:lvlText w:val=""/>
      <w:lvlJc w:val="left"/>
      <w:pPr>
        <w:ind w:left="4043" w:hanging="360"/>
      </w:pPr>
      <w:rPr>
        <w:rFonts w:ascii="Symbol" w:hAnsi="Symbol" w:hint="default"/>
      </w:rPr>
    </w:lvl>
    <w:lvl w:ilvl="4" w:tplc="08130003" w:tentative="1">
      <w:start w:val="1"/>
      <w:numFmt w:val="bullet"/>
      <w:lvlText w:val="o"/>
      <w:lvlJc w:val="left"/>
      <w:pPr>
        <w:ind w:left="4763" w:hanging="360"/>
      </w:pPr>
      <w:rPr>
        <w:rFonts w:ascii="Courier New" w:hAnsi="Courier New" w:cs="Courier New" w:hint="default"/>
      </w:rPr>
    </w:lvl>
    <w:lvl w:ilvl="5" w:tplc="08130005" w:tentative="1">
      <w:start w:val="1"/>
      <w:numFmt w:val="bullet"/>
      <w:lvlText w:val=""/>
      <w:lvlJc w:val="left"/>
      <w:pPr>
        <w:ind w:left="5483" w:hanging="360"/>
      </w:pPr>
      <w:rPr>
        <w:rFonts w:ascii="Wingdings" w:hAnsi="Wingdings" w:hint="default"/>
      </w:rPr>
    </w:lvl>
    <w:lvl w:ilvl="6" w:tplc="08130001" w:tentative="1">
      <w:start w:val="1"/>
      <w:numFmt w:val="bullet"/>
      <w:lvlText w:val=""/>
      <w:lvlJc w:val="left"/>
      <w:pPr>
        <w:ind w:left="6203" w:hanging="360"/>
      </w:pPr>
      <w:rPr>
        <w:rFonts w:ascii="Symbol" w:hAnsi="Symbol" w:hint="default"/>
      </w:rPr>
    </w:lvl>
    <w:lvl w:ilvl="7" w:tplc="08130003" w:tentative="1">
      <w:start w:val="1"/>
      <w:numFmt w:val="bullet"/>
      <w:lvlText w:val="o"/>
      <w:lvlJc w:val="left"/>
      <w:pPr>
        <w:ind w:left="6923" w:hanging="360"/>
      </w:pPr>
      <w:rPr>
        <w:rFonts w:ascii="Courier New" w:hAnsi="Courier New" w:cs="Courier New" w:hint="default"/>
      </w:rPr>
    </w:lvl>
    <w:lvl w:ilvl="8" w:tplc="08130005" w:tentative="1">
      <w:start w:val="1"/>
      <w:numFmt w:val="bullet"/>
      <w:lvlText w:val=""/>
      <w:lvlJc w:val="left"/>
      <w:pPr>
        <w:ind w:left="7643" w:hanging="360"/>
      </w:pPr>
      <w:rPr>
        <w:rFonts w:ascii="Wingdings" w:hAnsi="Wingdings" w:hint="default"/>
      </w:rPr>
    </w:lvl>
  </w:abstractNum>
  <w:abstractNum w:abstractNumId="36" w15:restartNumberingAfterBreak="0">
    <w:nsid w:val="5E9012D1"/>
    <w:multiLevelType w:val="hybridMultilevel"/>
    <w:tmpl w:val="0B480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35C03E7"/>
    <w:multiLevelType w:val="hybridMultilevel"/>
    <w:tmpl w:val="C9182AEE"/>
    <w:lvl w:ilvl="0" w:tplc="0813000D">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4EE5945"/>
    <w:multiLevelType w:val="hybridMultilevel"/>
    <w:tmpl w:val="C4FA3290"/>
    <w:lvl w:ilvl="0" w:tplc="B8B207CE">
      <w:start w:val="1"/>
      <w:numFmt w:val="bullet"/>
      <w:lvlText w:val=""/>
      <w:lvlJc w:val="left"/>
      <w:pPr>
        <w:ind w:left="720" w:hanging="360"/>
      </w:pPr>
      <w:rPr>
        <w:rFonts w:ascii="Symbol" w:hAnsi="Symbol" w:hint="default"/>
      </w:rPr>
    </w:lvl>
    <w:lvl w:ilvl="1" w:tplc="123CC5CE">
      <w:start w:val="2"/>
      <w:numFmt w:val="bullet"/>
      <w:lvlText w:val="-"/>
      <w:lvlJc w:val="left"/>
      <w:pPr>
        <w:ind w:left="1440" w:hanging="360"/>
      </w:pPr>
      <w:rPr>
        <w:rFonts w:ascii="Calibri" w:eastAsiaTheme="minorHAnsi" w:hAnsi="Calibri" w:cs="Calibr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5B51412"/>
    <w:multiLevelType w:val="hybridMultilevel"/>
    <w:tmpl w:val="A9ACAA68"/>
    <w:lvl w:ilvl="0" w:tplc="B8B207C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E6A27C3"/>
    <w:multiLevelType w:val="hybridMultilevel"/>
    <w:tmpl w:val="42C25E3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19661F9"/>
    <w:multiLevelType w:val="hybridMultilevel"/>
    <w:tmpl w:val="A0D8261E"/>
    <w:lvl w:ilvl="0" w:tplc="B8B207C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3350CB9"/>
    <w:multiLevelType w:val="hybridMultilevel"/>
    <w:tmpl w:val="B4D02A4A"/>
    <w:lvl w:ilvl="0" w:tplc="123CC5C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40"/>
  </w:num>
  <w:num w:numId="4">
    <w:abstractNumId w:val="21"/>
  </w:num>
  <w:num w:numId="5">
    <w:abstractNumId w:val="20"/>
  </w:num>
  <w:num w:numId="6">
    <w:abstractNumId w:val="35"/>
  </w:num>
  <w:num w:numId="7">
    <w:abstractNumId w:val="28"/>
  </w:num>
  <w:num w:numId="8">
    <w:abstractNumId w:val="16"/>
  </w:num>
  <w:num w:numId="9">
    <w:abstractNumId w:val="27"/>
  </w:num>
  <w:num w:numId="10">
    <w:abstractNumId w:val="10"/>
  </w:num>
  <w:num w:numId="11">
    <w:abstractNumId w:val="41"/>
  </w:num>
  <w:num w:numId="12">
    <w:abstractNumId w:val="39"/>
  </w:num>
  <w:num w:numId="13">
    <w:abstractNumId w:val="1"/>
  </w:num>
  <w:num w:numId="14">
    <w:abstractNumId w:val="2"/>
  </w:num>
  <w:num w:numId="15">
    <w:abstractNumId w:val="29"/>
  </w:num>
  <w:num w:numId="16">
    <w:abstractNumId w:val="30"/>
  </w:num>
  <w:num w:numId="17">
    <w:abstractNumId w:val="5"/>
  </w:num>
  <w:num w:numId="18">
    <w:abstractNumId w:val="33"/>
  </w:num>
  <w:num w:numId="19">
    <w:abstractNumId w:val="38"/>
  </w:num>
  <w:num w:numId="20">
    <w:abstractNumId w:val="32"/>
  </w:num>
  <w:num w:numId="21">
    <w:abstractNumId w:val="22"/>
  </w:num>
  <w:num w:numId="22">
    <w:abstractNumId w:val="24"/>
  </w:num>
  <w:num w:numId="23">
    <w:abstractNumId w:val="6"/>
  </w:num>
  <w:num w:numId="24">
    <w:abstractNumId w:val="17"/>
  </w:num>
  <w:num w:numId="25">
    <w:abstractNumId w:val="14"/>
  </w:num>
  <w:num w:numId="26">
    <w:abstractNumId w:val="8"/>
  </w:num>
  <w:num w:numId="27">
    <w:abstractNumId w:val="42"/>
  </w:num>
  <w:num w:numId="28">
    <w:abstractNumId w:val="18"/>
  </w:num>
  <w:num w:numId="29">
    <w:abstractNumId w:val="11"/>
  </w:num>
  <w:num w:numId="30">
    <w:abstractNumId w:val="0"/>
  </w:num>
  <w:num w:numId="31">
    <w:abstractNumId w:val="37"/>
  </w:num>
  <w:num w:numId="32">
    <w:abstractNumId w:val="13"/>
  </w:num>
  <w:num w:numId="33">
    <w:abstractNumId w:val="26"/>
  </w:num>
  <w:num w:numId="34">
    <w:abstractNumId w:val="3"/>
  </w:num>
  <w:num w:numId="35">
    <w:abstractNumId w:val="12"/>
  </w:num>
  <w:num w:numId="36">
    <w:abstractNumId w:val="9"/>
  </w:num>
  <w:num w:numId="37">
    <w:abstractNumId w:val="36"/>
  </w:num>
  <w:num w:numId="38">
    <w:abstractNumId w:val="25"/>
  </w:num>
  <w:num w:numId="39">
    <w:abstractNumId w:val="4"/>
  </w:num>
  <w:num w:numId="40">
    <w:abstractNumId w:val="7"/>
  </w:num>
  <w:num w:numId="41">
    <w:abstractNumId w:val="31"/>
  </w:num>
  <w:num w:numId="42">
    <w:abstractNumId w:val="2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0&lt;/ScanChanges&gt;&lt;Suspended&gt;1&lt;/Suspended&gt;&lt;/ENInstantFormat&gt;"/>
  </w:docVars>
  <w:rsids>
    <w:rsidRoot w:val="003D11BA"/>
    <w:rsid w:val="0008320C"/>
    <w:rsid w:val="000E2EA8"/>
    <w:rsid w:val="00112689"/>
    <w:rsid w:val="001B71E0"/>
    <w:rsid w:val="00212E31"/>
    <w:rsid w:val="002E5D1F"/>
    <w:rsid w:val="003638A5"/>
    <w:rsid w:val="003D11BA"/>
    <w:rsid w:val="00576A92"/>
    <w:rsid w:val="00605638"/>
    <w:rsid w:val="00647846"/>
    <w:rsid w:val="00742C41"/>
    <w:rsid w:val="00A46FA9"/>
    <w:rsid w:val="00C15BEE"/>
    <w:rsid w:val="00C42DD9"/>
    <w:rsid w:val="00C754E2"/>
    <w:rsid w:val="00CA0EBB"/>
    <w:rsid w:val="00CA415F"/>
    <w:rsid w:val="00CF1EE6"/>
    <w:rsid w:val="00E15E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A0A7"/>
  <w15:chartTrackingRefBased/>
  <w15:docId w15:val="{214E0DEB-FAC6-41EC-97CF-9C200F86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1BA"/>
  </w:style>
  <w:style w:type="paragraph" w:styleId="Heading1">
    <w:name w:val="heading 1"/>
    <w:basedOn w:val="Normal"/>
    <w:link w:val="Heading1Char"/>
    <w:uiPriority w:val="9"/>
    <w:qFormat/>
    <w:rsid w:val="003D1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BA"/>
    <w:rPr>
      <w:rFonts w:ascii="Times New Roman" w:eastAsia="Times New Roman" w:hAnsi="Times New Roman" w:cs="Times New Roman"/>
      <w:b/>
      <w:bCs/>
      <w:kern w:val="36"/>
      <w:sz w:val="48"/>
      <w:szCs w:val="48"/>
      <w:lang w:eastAsia="nl-BE"/>
    </w:rPr>
  </w:style>
  <w:style w:type="paragraph" w:styleId="ListParagraph">
    <w:name w:val="List Paragraph"/>
    <w:basedOn w:val="Normal"/>
    <w:uiPriority w:val="34"/>
    <w:qFormat/>
    <w:rsid w:val="003D11BA"/>
    <w:pPr>
      <w:ind w:left="720"/>
      <w:contextualSpacing/>
    </w:pPr>
  </w:style>
  <w:style w:type="table" w:styleId="TableGrid">
    <w:name w:val="Table Grid"/>
    <w:basedOn w:val="TableNormal"/>
    <w:uiPriority w:val="39"/>
    <w:rsid w:val="003D1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11BA"/>
    <w:rPr>
      <w:sz w:val="16"/>
      <w:szCs w:val="16"/>
    </w:rPr>
  </w:style>
  <w:style w:type="paragraph" w:styleId="CommentText">
    <w:name w:val="annotation text"/>
    <w:basedOn w:val="Normal"/>
    <w:link w:val="CommentTextChar"/>
    <w:uiPriority w:val="99"/>
    <w:unhideWhenUsed/>
    <w:rsid w:val="003D11BA"/>
    <w:pPr>
      <w:spacing w:line="240" w:lineRule="auto"/>
    </w:pPr>
    <w:rPr>
      <w:sz w:val="20"/>
      <w:szCs w:val="20"/>
    </w:rPr>
  </w:style>
  <w:style w:type="character" w:customStyle="1" w:styleId="CommentTextChar">
    <w:name w:val="Comment Text Char"/>
    <w:basedOn w:val="DefaultParagraphFont"/>
    <w:link w:val="CommentText"/>
    <w:uiPriority w:val="99"/>
    <w:rsid w:val="003D11BA"/>
    <w:rPr>
      <w:sz w:val="20"/>
      <w:szCs w:val="20"/>
    </w:rPr>
  </w:style>
  <w:style w:type="paragraph" w:styleId="CommentSubject">
    <w:name w:val="annotation subject"/>
    <w:basedOn w:val="CommentText"/>
    <w:next w:val="CommentText"/>
    <w:link w:val="CommentSubjectChar"/>
    <w:uiPriority w:val="99"/>
    <w:semiHidden/>
    <w:unhideWhenUsed/>
    <w:rsid w:val="003D11BA"/>
    <w:rPr>
      <w:b/>
      <w:bCs/>
    </w:rPr>
  </w:style>
  <w:style w:type="character" w:customStyle="1" w:styleId="CommentSubjectChar">
    <w:name w:val="Comment Subject Char"/>
    <w:basedOn w:val="CommentTextChar"/>
    <w:link w:val="CommentSubject"/>
    <w:uiPriority w:val="99"/>
    <w:semiHidden/>
    <w:rsid w:val="003D11BA"/>
    <w:rPr>
      <w:b/>
      <w:bCs/>
      <w:sz w:val="20"/>
      <w:szCs w:val="20"/>
    </w:rPr>
  </w:style>
  <w:style w:type="paragraph" w:styleId="BalloonText">
    <w:name w:val="Balloon Text"/>
    <w:basedOn w:val="Normal"/>
    <w:link w:val="BalloonTextChar"/>
    <w:uiPriority w:val="99"/>
    <w:semiHidden/>
    <w:unhideWhenUsed/>
    <w:rsid w:val="003D1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1BA"/>
    <w:rPr>
      <w:rFonts w:ascii="Segoe UI" w:hAnsi="Segoe UI" w:cs="Segoe UI"/>
      <w:sz w:val="18"/>
      <w:szCs w:val="18"/>
    </w:rPr>
  </w:style>
  <w:style w:type="character" w:styleId="Hyperlink">
    <w:name w:val="Hyperlink"/>
    <w:basedOn w:val="DefaultParagraphFont"/>
    <w:uiPriority w:val="99"/>
    <w:unhideWhenUsed/>
    <w:rsid w:val="003D11BA"/>
    <w:rPr>
      <w:b w:val="0"/>
      <w:bCs w:val="0"/>
      <w:strike w:val="0"/>
      <w:dstrike w:val="0"/>
      <w:color w:val="2A6EBB"/>
      <w:u w:val="none"/>
      <w:effect w:val="none"/>
      <w:shd w:val="clear" w:color="auto" w:fill="auto"/>
    </w:rPr>
  </w:style>
  <w:style w:type="paragraph" w:styleId="Header">
    <w:name w:val="header"/>
    <w:basedOn w:val="Normal"/>
    <w:link w:val="HeaderChar"/>
    <w:uiPriority w:val="99"/>
    <w:unhideWhenUsed/>
    <w:rsid w:val="003D11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11BA"/>
  </w:style>
  <w:style w:type="paragraph" w:styleId="Footer">
    <w:name w:val="footer"/>
    <w:basedOn w:val="Normal"/>
    <w:link w:val="FooterChar"/>
    <w:uiPriority w:val="99"/>
    <w:unhideWhenUsed/>
    <w:rsid w:val="003D11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11BA"/>
  </w:style>
  <w:style w:type="character" w:styleId="LineNumber">
    <w:name w:val="line number"/>
    <w:basedOn w:val="DefaultParagraphFont"/>
    <w:uiPriority w:val="99"/>
    <w:semiHidden/>
    <w:unhideWhenUsed/>
    <w:rsid w:val="003D11BA"/>
  </w:style>
  <w:style w:type="character" w:customStyle="1" w:styleId="authors-list-item">
    <w:name w:val="authors-list-item"/>
    <w:basedOn w:val="DefaultParagraphFont"/>
    <w:rsid w:val="003D11BA"/>
  </w:style>
  <w:style w:type="character" w:customStyle="1" w:styleId="author-sup-separator">
    <w:name w:val="author-sup-separator"/>
    <w:basedOn w:val="DefaultParagraphFont"/>
    <w:rsid w:val="003D11BA"/>
  </w:style>
  <w:style w:type="character" w:customStyle="1" w:styleId="comma">
    <w:name w:val="comma"/>
    <w:basedOn w:val="DefaultParagraphFont"/>
    <w:rsid w:val="003D11BA"/>
  </w:style>
  <w:style w:type="character" w:customStyle="1" w:styleId="period">
    <w:name w:val="period"/>
    <w:basedOn w:val="DefaultParagraphFont"/>
    <w:rsid w:val="003D11BA"/>
  </w:style>
  <w:style w:type="character" w:customStyle="1" w:styleId="cit">
    <w:name w:val="cit"/>
    <w:basedOn w:val="DefaultParagraphFont"/>
    <w:rsid w:val="003D11BA"/>
  </w:style>
  <w:style w:type="character" w:customStyle="1" w:styleId="citation-doi">
    <w:name w:val="citation-doi"/>
    <w:basedOn w:val="DefaultParagraphFont"/>
    <w:rsid w:val="003D11BA"/>
  </w:style>
  <w:style w:type="character" w:customStyle="1" w:styleId="ls0">
    <w:name w:val="ls0"/>
    <w:basedOn w:val="DefaultParagraphFont"/>
    <w:rsid w:val="003D11BA"/>
  </w:style>
  <w:style w:type="character" w:styleId="Emphasis">
    <w:name w:val="Emphasis"/>
    <w:basedOn w:val="DefaultParagraphFont"/>
    <w:uiPriority w:val="20"/>
    <w:qFormat/>
    <w:rsid w:val="003D11BA"/>
    <w:rPr>
      <w:i/>
      <w:iCs/>
    </w:rPr>
  </w:style>
  <w:style w:type="character" w:customStyle="1" w:styleId="muxgbd">
    <w:name w:val="muxgbd"/>
    <w:basedOn w:val="DefaultParagraphFont"/>
    <w:rsid w:val="003D11BA"/>
  </w:style>
  <w:style w:type="paragraph" w:customStyle="1" w:styleId="EndNoteBibliographyTitle">
    <w:name w:val="EndNote Bibliography Title"/>
    <w:basedOn w:val="Normal"/>
    <w:link w:val="EndNoteBibliographyTitleChar"/>
    <w:rsid w:val="003D11B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D11BA"/>
    <w:rPr>
      <w:rFonts w:ascii="Calibri" w:hAnsi="Calibri" w:cs="Calibri"/>
      <w:noProof/>
      <w:lang w:val="en-US"/>
    </w:rPr>
  </w:style>
  <w:style w:type="paragraph" w:customStyle="1" w:styleId="EndNoteBibliography">
    <w:name w:val="EndNote Bibliography"/>
    <w:basedOn w:val="Normal"/>
    <w:link w:val="EndNoteBibliographyChar"/>
    <w:rsid w:val="003D11B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3D11BA"/>
    <w:rPr>
      <w:rFonts w:ascii="Calibri" w:hAnsi="Calibri" w:cs="Calibri"/>
      <w:noProof/>
      <w:lang w:val="en-US"/>
    </w:rPr>
  </w:style>
  <w:style w:type="paragraph" w:styleId="Revision">
    <w:name w:val="Revision"/>
    <w:hidden/>
    <w:uiPriority w:val="99"/>
    <w:semiHidden/>
    <w:rsid w:val="003D11BA"/>
    <w:pPr>
      <w:spacing w:after="0" w:line="240" w:lineRule="auto"/>
    </w:pPr>
  </w:style>
  <w:style w:type="character" w:customStyle="1" w:styleId="UnresolvedMention1">
    <w:name w:val="Unresolved Mention1"/>
    <w:basedOn w:val="DefaultParagraphFont"/>
    <w:uiPriority w:val="99"/>
    <w:semiHidden/>
    <w:unhideWhenUsed/>
    <w:rsid w:val="003D11BA"/>
    <w:rPr>
      <w:color w:val="605E5C"/>
      <w:shd w:val="clear" w:color="auto" w:fill="E1DFDD"/>
    </w:rPr>
  </w:style>
  <w:style w:type="character" w:customStyle="1" w:styleId="UnresolvedMention2">
    <w:name w:val="Unresolved Mention2"/>
    <w:basedOn w:val="DefaultParagraphFont"/>
    <w:uiPriority w:val="99"/>
    <w:semiHidden/>
    <w:unhideWhenUsed/>
    <w:rsid w:val="003D11BA"/>
    <w:rPr>
      <w:color w:val="605E5C"/>
      <w:shd w:val="clear" w:color="auto" w:fill="E1DFDD"/>
    </w:rPr>
  </w:style>
  <w:style w:type="character" w:customStyle="1" w:styleId="UnresolvedMention3">
    <w:name w:val="Unresolved Mention3"/>
    <w:basedOn w:val="DefaultParagraphFont"/>
    <w:uiPriority w:val="99"/>
    <w:semiHidden/>
    <w:unhideWhenUsed/>
    <w:rsid w:val="003D11BA"/>
    <w:rPr>
      <w:color w:val="605E5C"/>
      <w:shd w:val="clear" w:color="auto" w:fill="E1DFDD"/>
    </w:rPr>
  </w:style>
  <w:style w:type="character" w:customStyle="1" w:styleId="UnresolvedMention4">
    <w:name w:val="Unresolved Mention4"/>
    <w:basedOn w:val="DefaultParagraphFont"/>
    <w:uiPriority w:val="99"/>
    <w:semiHidden/>
    <w:unhideWhenUsed/>
    <w:rsid w:val="003D11BA"/>
    <w:rPr>
      <w:color w:val="605E5C"/>
      <w:shd w:val="clear" w:color="auto" w:fill="E1DFDD"/>
    </w:rPr>
  </w:style>
  <w:style w:type="paragraph" w:styleId="NoSpacing">
    <w:name w:val="No Spacing"/>
    <w:uiPriority w:val="1"/>
    <w:qFormat/>
    <w:rsid w:val="003D11BA"/>
    <w:pPr>
      <w:spacing w:after="0" w:line="240" w:lineRule="auto"/>
    </w:pPr>
  </w:style>
  <w:style w:type="character" w:customStyle="1" w:styleId="UnresolvedMention">
    <w:name w:val="Unresolved Mention"/>
    <w:basedOn w:val="DefaultParagraphFont"/>
    <w:uiPriority w:val="99"/>
    <w:semiHidden/>
    <w:unhideWhenUsed/>
    <w:rsid w:val="003D1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p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41</Pages>
  <Words>21630</Words>
  <Characters>118971</Characters>
  <Application>Microsoft Office Word</Application>
  <DocSecurity>0</DocSecurity>
  <Lines>991</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Bonroy</dc:creator>
  <cp:keywords/>
  <dc:description/>
  <cp:lastModifiedBy>Xavier Bossuyt</cp:lastModifiedBy>
  <cp:revision>7</cp:revision>
  <dcterms:created xsi:type="dcterms:W3CDTF">2021-12-03T08:20:00Z</dcterms:created>
  <dcterms:modified xsi:type="dcterms:W3CDTF">2021-12-03T16:07:00Z</dcterms:modified>
</cp:coreProperties>
</file>