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4329FC27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C033312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984B2A" w:rsidRPr="00984B2A">
        <w:rPr>
          <w:rFonts w:ascii="Arial" w:hAnsi="Arial"/>
          <w:b/>
          <w:bCs/>
          <w:color w:val="0070C0"/>
          <w:sz w:val="22"/>
        </w:rPr>
        <w:t>Clinical and Analytical Performance Specifications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984B2A">
        <w:rPr>
          <w:rFonts w:ascii="Arial" w:hAnsi="Arial"/>
          <w:b/>
          <w:bCs/>
          <w:color w:val="0070C0"/>
          <w:sz w:val="22"/>
          <w:lang w:val="en-GB"/>
        </w:rPr>
        <w:t>CAPS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7DE7BCF5" w14:textId="3B6BA8F3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</w:t>
      </w:r>
      <w:r w:rsidR="00984B2A">
        <w:rPr>
          <w:rFonts w:ascii="Arial" w:hAnsi="Arial"/>
          <w:b/>
          <w:color w:val="002060"/>
          <w:sz w:val="22"/>
          <w:lang w:val="en-GB"/>
        </w:rPr>
        <w:t>:</w:t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ListParagraph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F895" w14:textId="77777777" w:rsidR="00E75D76" w:rsidRDefault="00E75D76">
      <w:r>
        <w:separator/>
      </w:r>
    </w:p>
  </w:endnote>
  <w:endnote w:type="continuationSeparator" w:id="0">
    <w:p w14:paraId="03D221AB" w14:textId="77777777" w:rsidR="00E75D76" w:rsidRDefault="00E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C964" w14:textId="77777777" w:rsidR="00E75D76" w:rsidRDefault="00E75D76">
      <w:r>
        <w:separator/>
      </w:r>
    </w:p>
  </w:footnote>
  <w:footnote w:type="continuationSeparator" w:id="0">
    <w:p w14:paraId="7D3D7E51" w14:textId="77777777" w:rsidR="00E75D76" w:rsidRDefault="00E7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23C01"/>
    <w:rsid w:val="0053725F"/>
    <w:rsid w:val="00544D7A"/>
    <w:rsid w:val="00571987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84B2A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20DC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5D76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4B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  <w:style w:type="character" w:customStyle="1" w:styleId="Heading4Char">
    <w:name w:val="Heading 4 Char"/>
    <w:basedOn w:val="DefaultParagraphFont"/>
    <w:link w:val="Heading4"/>
    <w:semiHidden/>
    <w:rsid w:val="00984B2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b-NO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2025-10-15T08:56:00Z</dcterms:created>
  <dcterms:modified xsi:type="dcterms:W3CDTF">2025-10-15T08:56:00Z</dcterms:modified>
</cp:coreProperties>
</file>